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363328F0">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363328F0">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58089DCB" w:rsidR="001338C4" w:rsidRPr="00433F91" w:rsidRDefault="3D6176C5" w:rsidP="3D6176C5">
            <w:pPr>
              <w:keepLines/>
              <w:spacing w:after="0" w:line="240" w:lineRule="auto"/>
              <w:jc w:val="both"/>
            </w:pPr>
            <w:r w:rsidRPr="3D6176C5">
              <w:t>Mathematics</w:t>
            </w:r>
          </w:p>
        </w:tc>
      </w:tr>
      <w:tr w:rsidR="001338C4" w:rsidRPr="00433F91" w14:paraId="65DAB2B4" w14:textId="69A7062C" w:rsidTr="363328F0">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8"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E00BF25" w14:textId="1193B968" w:rsidR="001338C4" w:rsidRPr="00BB2E64" w:rsidRDefault="3D6176C5" w:rsidP="3D6176C5">
            <w:pPr>
              <w:keepLines/>
              <w:spacing w:after="0" w:line="240" w:lineRule="auto"/>
              <w:jc w:val="both"/>
              <w:rPr>
                <w:rStyle w:val="normaltextrun"/>
                <w:rFonts w:ascii="Calibri" w:hAnsi="Calibri" w:cs="Calibri"/>
                <w:color w:val="000000" w:themeColor="text1"/>
              </w:rPr>
            </w:pPr>
            <w:r w:rsidRPr="3D6176C5">
              <w:rPr>
                <w:rStyle w:val="normaltextrun"/>
                <w:rFonts w:ascii="Calibri" w:hAnsi="Calibri" w:cs="Calibri"/>
                <w:color w:val="000000" w:themeColor="text1"/>
              </w:rPr>
              <w:t>The math department helps students “develop their intellect, character and abilities” through a variety of courses that help students develop several core competencies including:</w:t>
            </w:r>
          </w:p>
          <w:p w14:paraId="68DCB00F" w14:textId="1008759F" w:rsidR="001338C4" w:rsidRPr="00BB2E64" w:rsidRDefault="3D6176C5" w:rsidP="3D6176C5">
            <w:pPr>
              <w:keepLines/>
              <w:spacing w:after="0" w:line="240" w:lineRule="auto"/>
              <w:jc w:val="both"/>
              <w:rPr>
                <w:rStyle w:val="normaltextrun"/>
                <w:rFonts w:ascii="Calibri" w:hAnsi="Calibri" w:cs="Calibri"/>
                <w:color w:val="000000" w:themeColor="text1"/>
              </w:rPr>
            </w:pPr>
            <w:r w:rsidRPr="3D6176C5">
              <w:rPr>
                <w:rStyle w:val="normaltextrun"/>
                <w:rFonts w:ascii="Calibri" w:hAnsi="Calibri" w:cs="Calibri"/>
                <w:color w:val="000000" w:themeColor="text1"/>
              </w:rPr>
              <w:t>Communication and expression, Information literacy and Critical Thinking.</w:t>
            </w:r>
          </w:p>
          <w:p w14:paraId="19E5821F" w14:textId="57663D4E" w:rsidR="001338C4" w:rsidRPr="00BB2E64" w:rsidRDefault="001338C4" w:rsidP="3D6176C5">
            <w:pPr>
              <w:keepLines/>
              <w:spacing w:after="0" w:line="240" w:lineRule="auto"/>
              <w:jc w:val="both"/>
              <w:rPr>
                <w:rStyle w:val="normaltextrun"/>
                <w:rFonts w:ascii="Calibri" w:hAnsi="Calibri" w:cs="Calibri"/>
                <w:color w:val="000000" w:themeColor="text1"/>
              </w:rPr>
            </w:pPr>
          </w:p>
          <w:p w14:paraId="21A56B4A" w14:textId="08825811" w:rsidR="001338C4" w:rsidRPr="00BB2E64" w:rsidRDefault="3D6176C5" w:rsidP="3D6176C5">
            <w:pPr>
              <w:spacing w:after="0" w:line="240" w:lineRule="auto"/>
              <w:jc w:val="both"/>
              <w:rPr>
                <w:rStyle w:val="normaltextrun"/>
                <w:rFonts w:ascii="Calibri" w:hAnsi="Calibri" w:cs="Calibri"/>
                <w:color w:val="000000" w:themeColor="text1"/>
              </w:rPr>
            </w:pPr>
            <w:r w:rsidRPr="363328F0">
              <w:rPr>
                <w:rStyle w:val="normaltextrun"/>
                <w:rFonts w:ascii="Calibri" w:hAnsi="Calibri" w:cs="Calibri"/>
                <w:color w:val="000000" w:themeColor="text1"/>
              </w:rPr>
              <w:t>Our instructors also create an environment that fosters mental wellness and personal responsibility which builds a foundation for our students to recognize their role as local, national, and global citizens.</w:t>
            </w:r>
          </w:p>
          <w:p w14:paraId="2CE4BCAD" w14:textId="59AFEC08" w:rsidR="363328F0" w:rsidRDefault="363328F0" w:rsidP="363328F0">
            <w:pPr>
              <w:spacing w:after="0" w:line="240" w:lineRule="auto"/>
              <w:jc w:val="both"/>
              <w:rPr>
                <w:rStyle w:val="normaltextrun"/>
                <w:rFonts w:ascii="Calibri" w:hAnsi="Calibri" w:cs="Calibri"/>
                <w:color w:val="000000" w:themeColor="text1"/>
              </w:rPr>
            </w:pPr>
          </w:p>
          <w:p w14:paraId="5E1F6F84" w14:textId="791AD37C" w:rsidR="363328F0" w:rsidRDefault="363328F0" w:rsidP="363328F0">
            <w:pPr>
              <w:spacing w:after="0" w:line="240" w:lineRule="auto"/>
              <w:jc w:val="both"/>
              <w:rPr>
                <w:rFonts w:ascii="Calibri" w:eastAsia="Calibri" w:hAnsi="Calibri" w:cs="Calibri"/>
              </w:rPr>
            </w:pPr>
            <w:r w:rsidRPr="363328F0">
              <w:rPr>
                <w:rFonts w:ascii="Calibri" w:eastAsia="Calibri" w:hAnsi="Calibri" w:cs="Calibri"/>
              </w:rPr>
              <w:t xml:space="preserve">PLO #1: Analyze and synthesize the concepts of mathematics from a graphical, analytical, numerical, and verbal approach. </w:t>
            </w:r>
          </w:p>
          <w:p w14:paraId="126FDC99" w14:textId="144991A7" w:rsidR="363328F0" w:rsidRDefault="363328F0" w:rsidP="363328F0">
            <w:pPr>
              <w:spacing w:after="0" w:line="240" w:lineRule="auto"/>
              <w:jc w:val="both"/>
              <w:rPr>
                <w:rFonts w:ascii="Calibri" w:eastAsia="Calibri" w:hAnsi="Calibri" w:cs="Calibri"/>
              </w:rPr>
            </w:pPr>
          </w:p>
          <w:p w14:paraId="3BFAADA0" w14:textId="58256E97" w:rsidR="363328F0" w:rsidRDefault="363328F0" w:rsidP="363328F0">
            <w:pPr>
              <w:spacing w:after="0" w:line="240" w:lineRule="auto"/>
              <w:jc w:val="both"/>
              <w:rPr>
                <w:rFonts w:ascii="Calibri" w:eastAsia="Calibri" w:hAnsi="Calibri" w:cs="Calibri"/>
              </w:rPr>
            </w:pPr>
            <w:r w:rsidRPr="363328F0">
              <w:rPr>
                <w:rFonts w:ascii="Calibri" w:eastAsia="Calibri" w:hAnsi="Calibri" w:cs="Calibri"/>
              </w:rPr>
              <w:lastRenderedPageBreak/>
              <w:t xml:space="preserve">PLO #2: Demonstrate and apply a systematic and logical approach to modeling and solving mathematical problems. </w:t>
            </w:r>
          </w:p>
          <w:p w14:paraId="425931F8" w14:textId="53B9C07B" w:rsidR="363328F0" w:rsidRDefault="363328F0" w:rsidP="363328F0">
            <w:pPr>
              <w:spacing w:after="0" w:line="240" w:lineRule="auto"/>
              <w:jc w:val="both"/>
              <w:rPr>
                <w:rFonts w:ascii="Calibri" w:eastAsia="Calibri" w:hAnsi="Calibri" w:cs="Calibri"/>
              </w:rPr>
            </w:pPr>
          </w:p>
          <w:p w14:paraId="69D9AF40" w14:textId="286F17F2" w:rsidR="363328F0" w:rsidRDefault="363328F0" w:rsidP="363328F0">
            <w:pPr>
              <w:spacing w:after="0" w:line="240" w:lineRule="auto"/>
              <w:jc w:val="both"/>
              <w:rPr>
                <w:rFonts w:ascii="Calibri" w:eastAsia="Calibri" w:hAnsi="Calibri" w:cs="Calibri"/>
              </w:rPr>
            </w:pPr>
            <w:r w:rsidRPr="363328F0">
              <w:rPr>
                <w:rFonts w:ascii="Calibri" w:eastAsia="Calibri" w:hAnsi="Calibri" w:cs="Calibri"/>
              </w:rPr>
              <w:t>PLO #3: Use correct notation and mathematical precision in communicating mathematics. #1 and #2 relate to the Institutional Core Competency “Critical thinking”. #3 relates to “Communication and expression”.</w:t>
            </w:r>
          </w:p>
          <w:p w14:paraId="47A4AD9C" w14:textId="329DF74C" w:rsidR="001338C4" w:rsidRPr="00BB2E64" w:rsidRDefault="001338C4" w:rsidP="3D6176C5">
            <w:pPr>
              <w:keepLines/>
              <w:spacing w:after="0" w:line="240" w:lineRule="auto"/>
              <w:jc w:val="both"/>
              <w:rPr>
                <w:rStyle w:val="normaltextrun"/>
                <w:rFonts w:ascii="Calibri" w:hAnsi="Calibri" w:cs="Calibri"/>
                <w:color w:val="000000"/>
                <w:shd w:val="clear" w:color="auto" w:fill="FFFFFF"/>
              </w:rPr>
            </w:pPr>
          </w:p>
        </w:tc>
      </w:tr>
      <w:tr w:rsidR="001338C4" w:rsidRPr="00433F91" w14:paraId="4EE28EAC" w14:textId="13A51B88" w:rsidTr="363328F0">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D0F0346" w:rsidR="001338C4" w:rsidRPr="00433F91" w:rsidRDefault="363328F0" w:rsidP="363328F0">
            <w:pPr>
              <w:spacing w:after="0" w:line="240" w:lineRule="auto"/>
            </w:pPr>
            <w:r w:rsidRPr="363328F0">
              <w:t>Transfer</w:t>
            </w:r>
          </w:p>
        </w:tc>
      </w:tr>
      <w:tr w:rsidR="001338C4" w:rsidRPr="00433F91" w14:paraId="4C4F60DD" w14:textId="5703D807" w:rsidTr="363328F0">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5A4EBD24" w:rsidR="001338C4" w:rsidRDefault="363328F0" w:rsidP="363328F0">
            <w:pPr>
              <w:spacing w:after="0" w:line="240" w:lineRule="auto"/>
            </w:pPr>
            <w:r w:rsidRPr="363328F0">
              <w:t>General Education</w:t>
            </w:r>
          </w:p>
        </w:tc>
      </w:tr>
      <w:tr w:rsidR="001338C4" w:rsidRPr="00E261E4" w14:paraId="73B9B908" w14:textId="540CF621" w:rsidTr="363328F0">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9"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E3932C3" w:rsidR="001338C4" w:rsidRPr="00E261E4" w:rsidRDefault="3D6176C5" w:rsidP="3D6176C5">
            <w:pPr>
              <w:keepLines/>
              <w:spacing w:after="0" w:line="240" w:lineRule="auto"/>
              <w:rPr>
                <w:rFonts w:eastAsia="Times New Roman"/>
              </w:rPr>
            </w:pPr>
            <w:r w:rsidRPr="3D6176C5">
              <w:rPr>
                <w:rFonts w:eastAsia="Times New Roman"/>
              </w:rPr>
              <w:t xml:space="preserve">2020-2021: 329 </w:t>
            </w:r>
          </w:p>
        </w:tc>
      </w:tr>
      <w:tr w:rsidR="001338C4" w:rsidRPr="00433F91" w14:paraId="271F1A1A" w14:textId="2F87B091" w:rsidTr="363328F0">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E908A9" w:rsidP="00512AFD">
            <w:pPr>
              <w:keepLines/>
              <w:spacing w:after="0" w:line="240" w:lineRule="auto"/>
              <w:rPr>
                <w:rFonts w:eastAsia="Times New Roman" w:cstheme="minorHAnsi"/>
              </w:rPr>
            </w:pPr>
            <w:hyperlink r:id="rId10" w:history="1">
              <w:r w:rsidR="000F3598" w:rsidRPr="00CD1A07">
                <w:rPr>
                  <w:rStyle w:val="Hyperlink"/>
                </w:rPr>
                <w:t>https://www.deanza.edu/ir/AwardsbyDivision.html</w:t>
              </w:r>
            </w:hyperlink>
            <w:r w:rsidR="000F3598">
              <w:t xml:space="preserve"> </w:t>
            </w:r>
            <w:r w:rsidR="001338C4" w:rsidRPr="00E261E4">
              <w:rPr>
                <w:rFonts w:eastAsia="Times New Roman" w:cstheme="minorHAnsi"/>
              </w:rPr>
              <w:t xml:space="preserve">If you do not </w:t>
            </w:r>
            <w:r w:rsidR="001338C4" w:rsidRPr="00E261E4">
              <w:rPr>
                <w:rFonts w:eastAsia="Times New Roman" w:cstheme="minorHAnsi"/>
              </w:rPr>
              <w:lastRenderedPageBreak/>
              <w:t>offer Certificates of Achievement” please state “none offered”.</w:t>
            </w:r>
          </w:p>
        </w:tc>
        <w:tc>
          <w:tcPr>
            <w:tcW w:w="5197" w:type="dxa"/>
          </w:tcPr>
          <w:p w14:paraId="038D7AEE" w14:textId="13FF5982" w:rsidR="001338C4" w:rsidRDefault="3D6176C5" w:rsidP="3D6176C5">
            <w:pPr>
              <w:keepLines/>
              <w:spacing w:after="0" w:line="240" w:lineRule="auto"/>
              <w:rPr>
                <w:rFonts w:eastAsia="Times New Roman"/>
              </w:rPr>
            </w:pPr>
            <w:r w:rsidRPr="3D6176C5">
              <w:rPr>
                <w:rFonts w:eastAsia="Times New Roman"/>
              </w:rPr>
              <w:lastRenderedPageBreak/>
              <w:t>None offered</w:t>
            </w:r>
          </w:p>
        </w:tc>
      </w:tr>
      <w:tr w:rsidR="001338C4" w:rsidRPr="00E261E4" w14:paraId="08A39F15" w14:textId="65B19E2D" w:rsidTr="363328F0">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11"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5F0B791" w:rsidR="001338C4" w:rsidRPr="00E261E4" w:rsidRDefault="3D6176C5" w:rsidP="3D6176C5">
            <w:pPr>
              <w:keepLines/>
              <w:spacing w:after="0" w:line="240" w:lineRule="auto"/>
              <w:rPr>
                <w:rFonts w:eastAsia="Times New Roman"/>
                <w:highlight w:val="yellow"/>
              </w:rPr>
            </w:pPr>
            <w:r w:rsidRPr="3D6176C5">
              <w:rPr>
                <w:rFonts w:eastAsia="Times New Roman"/>
                <w:highlight w:val="yellow"/>
              </w:rPr>
              <w:t>329</w:t>
            </w:r>
          </w:p>
        </w:tc>
      </w:tr>
      <w:tr w:rsidR="001338C4" w:rsidRPr="00E261E4" w14:paraId="58AEF2BA" w14:textId="3A1BD83A" w:rsidTr="363328F0">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2"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2EFC6475" w:rsidR="001338C4" w:rsidRPr="00E261E4" w:rsidRDefault="3D6176C5" w:rsidP="3D6176C5">
            <w:pPr>
              <w:keepLines/>
              <w:spacing w:after="0" w:line="240" w:lineRule="auto"/>
              <w:rPr>
                <w:rFonts w:eastAsia="Times New Roman"/>
              </w:rPr>
            </w:pPr>
            <w:r w:rsidRPr="3D6176C5">
              <w:rPr>
                <w:rFonts w:eastAsia="Times New Roman"/>
                <w:highlight w:val="yellow"/>
              </w:rPr>
              <w:t>329</w:t>
            </w:r>
          </w:p>
        </w:tc>
      </w:tr>
      <w:tr w:rsidR="001338C4" w:rsidRPr="00E261E4" w14:paraId="384290CC" w14:textId="77471F2E" w:rsidTr="363328F0">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0A124962" w:rsidR="001338C4" w:rsidRPr="00E261E4" w:rsidRDefault="3D6176C5" w:rsidP="3D6176C5">
            <w:pPr>
              <w:keepLines/>
              <w:spacing w:after="0" w:line="240" w:lineRule="auto"/>
              <w:rPr>
                <w:rFonts w:eastAsia="Times New Roman"/>
              </w:rPr>
            </w:pPr>
            <w:r w:rsidRPr="3D6176C5">
              <w:rPr>
                <w:rFonts w:eastAsia="Times New Roman"/>
              </w:rPr>
              <w:t>Increased by ~23%</w:t>
            </w:r>
          </w:p>
        </w:tc>
      </w:tr>
      <w:tr w:rsidR="001338C4" w:rsidRPr="00E261E4" w14:paraId="62D2D08F" w14:textId="2E9A5227" w:rsidTr="363328F0">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324A29D1" w14:textId="262199B8" w:rsidR="001338C4" w:rsidRPr="00E261E4" w:rsidRDefault="3D6176C5" w:rsidP="363328F0">
            <w:pPr>
              <w:keepLines/>
              <w:spacing w:after="0" w:line="240" w:lineRule="auto"/>
              <w:rPr>
                <w:rFonts w:eastAsia="Times New Roman"/>
                <w:highlight w:val="yellow"/>
              </w:rPr>
            </w:pPr>
            <w:r w:rsidRPr="363328F0">
              <w:rPr>
                <w:rFonts w:eastAsia="Times New Roman"/>
                <w:highlight w:val="yellow"/>
              </w:rPr>
              <w:t>Outreach, co-teaching, MPS, collaboration with counseling.</w:t>
            </w:r>
          </w:p>
          <w:p w14:paraId="714E7543" w14:textId="5B399D42" w:rsidR="001338C4" w:rsidRPr="00E261E4" w:rsidRDefault="363328F0" w:rsidP="363328F0">
            <w:pPr>
              <w:keepLines/>
              <w:spacing w:after="0" w:line="240" w:lineRule="auto"/>
              <w:rPr>
                <w:rFonts w:ascii="Calibri" w:eastAsia="Calibri" w:hAnsi="Calibri" w:cs="Calibri"/>
              </w:rPr>
            </w:pPr>
            <w:r w:rsidRPr="363328F0">
              <w:rPr>
                <w:rFonts w:ascii="Calibri" w:eastAsia="Calibri" w:hAnsi="Calibri" w:cs="Calibri"/>
              </w:rPr>
              <w:t>We will discuss significance of awarding degrees and ways to encourage students complete the requirement. We will encourage the faculty to make in class presentations and flyer with information in the minimal requirement for completing the degree will be placed in different locations on campus.</w:t>
            </w:r>
          </w:p>
        </w:tc>
      </w:tr>
      <w:tr w:rsidR="001338C4" w:rsidRPr="00433F91" w14:paraId="22238A1D" w14:textId="69F57609" w:rsidTr="363328F0">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3"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3549D3E0" w14:textId="386D9C41" w:rsidR="001338C4" w:rsidRPr="00433F91" w:rsidRDefault="000E0E3C" w:rsidP="3D6176C5">
            <w:pPr>
              <w:keepLines/>
              <w:spacing w:after="0" w:line="240" w:lineRule="auto"/>
              <w:rPr>
                <w:color w:val="000000" w:themeColor="text1"/>
              </w:rPr>
            </w:pPr>
            <w:r w:rsidRPr="3D6176C5">
              <w:rPr>
                <w:color w:val="000000" w:themeColor="text1"/>
              </w:rPr>
              <w:t xml:space="preserve">https://www.calpassplus.org/LaunchBoard/Home.aspx Student enrollment continues to decrease but success rates have increased especially with distance learning. </w:t>
            </w:r>
          </w:p>
          <w:p w14:paraId="117D75B8" w14:textId="63821154" w:rsidR="001338C4" w:rsidRPr="00433F91" w:rsidRDefault="001338C4" w:rsidP="3D6176C5">
            <w:pPr>
              <w:keepLines/>
              <w:spacing w:after="0" w:line="240" w:lineRule="auto"/>
              <w:rPr>
                <w:color w:val="000000" w:themeColor="text1"/>
              </w:rPr>
            </w:pPr>
          </w:p>
          <w:p w14:paraId="08BE2A4A" w14:textId="379C2302" w:rsidR="001338C4" w:rsidRPr="00433F91" w:rsidRDefault="000E0E3C" w:rsidP="3D6176C5">
            <w:pPr>
              <w:keepLines/>
              <w:spacing w:after="0" w:line="240" w:lineRule="auto"/>
              <w:rPr>
                <w:color w:val="000000"/>
              </w:rPr>
            </w:pPr>
            <w:r w:rsidRPr="3D6176C5">
              <w:rPr>
                <w:color w:val="000000" w:themeColor="text1"/>
              </w:rPr>
              <w:t>We plan on continue to offer online education courses as appropriate and as demanded by students. We plan to review the data with the department to determine other interventions and course offerings that we can do to continue to improve success rates and help enrollment.</w:t>
            </w:r>
          </w:p>
        </w:tc>
      </w:tr>
      <w:tr w:rsidR="001338C4" w:rsidRPr="00433F91" w14:paraId="1BC636D6" w14:textId="02690565" w:rsidTr="363328F0">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4"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4B1A8F82" w14:textId="2C54C4BB" w:rsidR="001338C4" w:rsidRPr="00433F91" w:rsidRDefault="3D6176C5" w:rsidP="3D6176C5">
            <w:pPr>
              <w:keepLines/>
              <w:spacing w:after="0" w:line="240" w:lineRule="auto"/>
              <w:rPr>
                <w:color w:val="000000" w:themeColor="text1"/>
              </w:rPr>
            </w:pPr>
            <w:r w:rsidRPr="3D6176C5">
              <w:rPr>
                <w:color w:val="000000" w:themeColor="text1"/>
              </w:rPr>
              <w:t>Majority of the fields related to mathematics are projected to increase including Computer and Mathematical Occupations by 81,900 (one of the largest increases in reported across all occupations).</w:t>
            </w:r>
          </w:p>
          <w:p w14:paraId="1200A320" w14:textId="20C3D175" w:rsidR="001338C4" w:rsidRPr="00433F91" w:rsidRDefault="001338C4" w:rsidP="3D6176C5">
            <w:pPr>
              <w:keepLines/>
              <w:spacing w:after="0" w:line="240" w:lineRule="auto"/>
              <w:rPr>
                <w:color w:val="000000"/>
              </w:rPr>
            </w:pPr>
          </w:p>
        </w:tc>
      </w:tr>
      <w:tr w:rsidR="001338C4" w:rsidRPr="00433F91" w14:paraId="142619DF" w14:textId="3D7EB548" w:rsidTr="363328F0">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faculty served per year (Fall, Winter and </w:t>
            </w:r>
            <w:r w:rsidRPr="00433F91">
              <w:rPr>
                <w:rFonts w:eastAsia="Times New Roman" w:cstheme="minorHAnsi"/>
              </w:rPr>
              <w:lastRenderedPageBreak/>
              <w:t>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363328F0">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363328F0">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363328F0">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E908A9" w:rsidP="00512AFD">
            <w:pPr>
              <w:keepLines/>
              <w:spacing w:after="0" w:line="240" w:lineRule="auto"/>
              <w:rPr>
                <w:rFonts w:eastAsia="Times New Roman" w:cstheme="minorHAnsi"/>
              </w:rPr>
            </w:pPr>
            <w:hyperlink r:id="rId15"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42F8B81" w:rsidR="001338C4" w:rsidRPr="00433F91" w:rsidRDefault="363328F0" w:rsidP="363328F0">
            <w:pPr>
              <w:spacing w:after="0" w:line="240" w:lineRule="auto"/>
              <w:rPr>
                <w:rFonts w:eastAsia="Times New Roman"/>
              </w:rPr>
            </w:pPr>
            <w:r w:rsidRPr="363328F0">
              <w:rPr>
                <w:rFonts w:eastAsia="Times New Roman"/>
              </w:rPr>
              <w:t>59.1 (this includes PT and Overloads)</w:t>
            </w:r>
          </w:p>
        </w:tc>
      </w:tr>
      <w:tr w:rsidR="001338C4" w:rsidRPr="00433F91" w14:paraId="68793C1A" w14:textId="74860AAB" w:rsidTr="363328F0">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lastRenderedPageBreak/>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77777777" w:rsidR="001338C4" w:rsidRPr="00433F91" w:rsidRDefault="001338C4" w:rsidP="00512AFD">
            <w:pPr>
              <w:keepLines/>
              <w:spacing w:after="0" w:line="240" w:lineRule="auto"/>
              <w:rPr>
                <w:rFonts w:eastAsia="Times New Roman" w:cstheme="minorHAnsi"/>
              </w:rPr>
            </w:pPr>
          </w:p>
        </w:tc>
      </w:tr>
      <w:tr w:rsidR="001338C4" w:rsidRPr="00433F91" w14:paraId="043A01C3" w14:textId="19F4B92F" w:rsidTr="363328F0">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0439DB8B" w:rsidR="001338C4" w:rsidRPr="00E261E4" w:rsidRDefault="363328F0" w:rsidP="363328F0">
            <w:pPr>
              <w:spacing w:after="0" w:line="240" w:lineRule="auto"/>
              <w:rPr>
                <w:rFonts w:eastAsia="Times New Roman"/>
              </w:rPr>
            </w:pPr>
            <w:r w:rsidRPr="363328F0">
              <w:rPr>
                <w:rFonts w:eastAsia="Times New Roman"/>
              </w:rPr>
              <w:t xml:space="preserve">40.3% </w:t>
            </w:r>
          </w:p>
        </w:tc>
      </w:tr>
      <w:tr w:rsidR="001338C4" w:rsidRPr="00433F91" w14:paraId="243C7239" w14:textId="76614131" w:rsidTr="363328F0">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72551F38" w:rsidR="001338C4" w:rsidRPr="00E261E4" w:rsidRDefault="3D6176C5" w:rsidP="3D6176C5">
            <w:pPr>
              <w:keepLines/>
              <w:spacing w:after="0" w:line="240" w:lineRule="auto"/>
              <w:rPr>
                <w:rFonts w:ascii="Calibri" w:eastAsia="Calibri" w:hAnsi="Calibri" w:cs="Calibri"/>
              </w:rPr>
            </w:pPr>
            <w:proofErr w:type="gramStart"/>
            <w:r w:rsidRPr="363328F0">
              <w:rPr>
                <w:rFonts w:ascii="Calibri" w:eastAsia="Calibri" w:hAnsi="Calibri" w:cs="Calibri"/>
              </w:rPr>
              <w:t>25.7 ???</w:t>
            </w:r>
            <w:proofErr w:type="gramEnd"/>
            <w:r w:rsidRPr="363328F0">
              <w:rPr>
                <w:rFonts w:ascii="Calibri" w:eastAsia="Calibri" w:hAnsi="Calibri" w:cs="Calibri"/>
              </w:rPr>
              <w:t xml:space="preserve"> PLEASE CHECK THIS!</w:t>
            </w:r>
          </w:p>
        </w:tc>
      </w:tr>
      <w:tr w:rsidR="001338C4" w:rsidRPr="00433F91" w14:paraId="6BCCE9E6" w14:textId="31CEFC15" w:rsidTr="363328F0">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w:t>
            </w:r>
            <w:r w:rsidRPr="00372D88">
              <w:rPr>
                <w:rFonts w:eastAsia="Times New Roman" w:cstheme="minorHAnsi"/>
              </w:rPr>
              <w:lastRenderedPageBreak/>
              <w:t>hours, instructional support, non-credit support, etc.)</w:t>
            </w:r>
            <w:r w:rsidRPr="00433F91">
              <w:rPr>
                <w:rFonts w:eastAsia="Times New Roman" w:cstheme="minorHAnsi"/>
                <w:strike/>
              </w:rPr>
              <w:t xml:space="preserve"> </w:t>
            </w:r>
          </w:p>
        </w:tc>
        <w:tc>
          <w:tcPr>
            <w:tcW w:w="5197" w:type="dxa"/>
          </w:tcPr>
          <w:p w14:paraId="684CD3D0" w14:textId="5A648E7D" w:rsidR="001338C4" w:rsidRPr="00372D88" w:rsidRDefault="3D6176C5" w:rsidP="3D6176C5">
            <w:pPr>
              <w:spacing w:after="0" w:line="240" w:lineRule="auto"/>
            </w:pPr>
            <w:r w:rsidRPr="3D6176C5">
              <w:lastRenderedPageBreak/>
              <w:t>Retirements have impacted number of FT faculty available to teach and support students.</w:t>
            </w:r>
          </w:p>
          <w:p w14:paraId="36B0A34F" w14:textId="0ABB06C4" w:rsidR="001338C4" w:rsidRPr="00372D88" w:rsidRDefault="001338C4" w:rsidP="3D6176C5">
            <w:pPr>
              <w:spacing w:after="0" w:line="240" w:lineRule="auto"/>
            </w:pPr>
          </w:p>
          <w:p w14:paraId="6CA98F49" w14:textId="33D104BB" w:rsidR="001338C4" w:rsidRPr="00372D88" w:rsidRDefault="3D6176C5" w:rsidP="3D6176C5">
            <w:pPr>
              <w:spacing w:after="0" w:line="240" w:lineRule="auto"/>
            </w:pPr>
            <w:r w:rsidRPr="3D6176C5">
              <w:t>We are looking to offer non-credit courses which will help students succeed in transfer level courses.</w:t>
            </w:r>
          </w:p>
        </w:tc>
      </w:tr>
      <w:tr w:rsidR="001338C4" w:rsidRPr="00433F91" w14:paraId="32DE8044" w14:textId="3FEAE5AC" w:rsidTr="363328F0">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363328F0">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7"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73BF8DD1" w14:textId="49C0A61A" w:rsidR="001338C4" w:rsidRPr="00433F91" w:rsidRDefault="3D6176C5" w:rsidP="3D6176C5">
            <w:pPr>
              <w:keepLines/>
              <w:spacing w:after="0" w:line="240" w:lineRule="auto"/>
            </w:pPr>
            <w:r w:rsidRPr="3D6176C5">
              <w:t xml:space="preserve">Enrollment over the last three years has been: 18,334 to </w:t>
            </w:r>
            <w:proofErr w:type="gramStart"/>
            <w:r w:rsidRPr="3D6176C5">
              <w:t>17,864  to</w:t>
            </w:r>
            <w:proofErr w:type="gramEnd"/>
            <w:r w:rsidRPr="3D6176C5">
              <w:t xml:space="preserve"> 18,503. </w:t>
            </w:r>
          </w:p>
          <w:p w14:paraId="392DC560" w14:textId="69FDD2DA" w:rsidR="001338C4" w:rsidRPr="00433F91" w:rsidRDefault="3D6176C5" w:rsidP="3D6176C5">
            <w:pPr>
              <w:keepLines/>
              <w:spacing w:after="0" w:line="240" w:lineRule="auto"/>
            </w:pPr>
            <w:r w:rsidRPr="363328F0">
              <w:t>Overall enrollment has a downward slope over the last 5 years but has settled over the last three. Our department will continue to engage in efforts to accommodate student requests / demand to maximize enrollment.</w:t>
            </w:r>
          </w:p>
        </w:tc>
      </w:tr>
      <w:tr w:rsidR="00407B45" w:rsidRPr="00433F91" w14:paraId="78097375" w14:textId="77777777" w:rsidTr="363328F0">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7"/>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7"/>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w:t>
            </w:r>
            <w:r>
              <w:rPr>
                <w:rFonts w:asciiTheme="minorHAnsi" w:hAnsiTheme="minorHAnsi" w:cstheme="minorHAnsi"/>
                <w:bCs/>
                <w:sz w:val="22"/>
                <w:szCs w:val="22"/>
              </w:rPr>
              <w:lastRenderedPageBreak/>
              <w:t xml:space="preserve">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4DF98CCF" w14:textId="4BA4E2DB" w:rsidR="00407B45" w:rsidRPr="00433F91" w:rsidRDefault="3D6176C5" w:rsidP="3D6176C5">
            <w:pPr>
              <w:keepLines/>
              <w:spacing w:after="0" w:line="240" w:lineRule="auto"/>
            </w:pPr>
            <w:r w:rsidRPr="3D6176C5">
              <w:lastRenderedPageBreak/>
              <w:t>5,704 out of 18,503 or 30%.</w:t>
            </w:r>
          </w:p>
          <w:p w14:paraId="11B2448E" w14:textId="36B582C1" w:rsidR="00407B45" w:rsidRPr="00433F91" w:rsidRDefault="00407B45" w:rsidP="3D6176C5">
            <w:pPr>
              <w:keepLines/>
              <w:spacing w:after="0" w:line="240" w:lineRule="auto"/>
            </w:pPr>
          </w:p>
          <w:p w14:paraId="3A5FA145" w14:textId="5B36252E" w:rsidR="00407B45" w:rsidRPr="00433F91" w:rsidRDefault="3D6176C5" w:rsidP="3D6176C5">
            <w:pPr>
              <w:keepLines/>
              <w:spacing w:after="0" w:line="240" w:lineRule="auto"/>
            </w:pPr>
            <w:r w:rsidRPr="3D6176C5">
              <w:t>Population of students from these groups has decreased but recovered from the previous year which follows the overall pattern of enrollment in the college.</w:t>
            </w:r>
          </w:p>
          <w:p w14:paraId="3B72A34D" w14:textId="109D4B79" w:rsidR="00407B45" w:rsidRPr="00433F91" w:rsidRDefault="00407B45" w:rsidP="3D6176C5">
            <w:pPr>
              <w:keepLines/>
              <w:spacing w:after="0" w:line="240" w:lineRule="auto"/>
            </w:pPr>
          </w:p>
          <w:p w14:paraId="7BAAB612" w14:textId="1A66B9B6" w:rsidR="00407B45" w:rsidRPr="00433F91" w:rsidRDefault="3D6176C5" w:rsidP="3D6176C5">
            <w:pPr>
              <w:keepLines/>
              <w:spacing w:after="0" w:line="240" w:lineRule="auto"/>
            </w:pPr>
            <w:r w:rsidRPr="363328F0">
              <w:t>Continuing to offer courses such as MPS will allow our department to serve students from disproportionately impacted student groups.</w:t>
            </w:r>
          </w:p>
          <w:p w14:paraId="21F4A411" w14:textId="51EB0003" w:rsidR="00407B45" w:rsidRPr="00433F91" w:rsidRDefault="00407B45" w:rsidP="3D6176C5">
            <w:pPr>
              <w:keepLines/>
              <w:spacing w:after="0" w:line="240" w:lineRule="auto"/>
            </w:pPr>
          </w:p>
          <w:p w14:paraId="2CACB0DA" w14:textId="71CEC1A7" w:rsidR="00407B45" w:rsidRPr="00433F91" w:rsidRDefault="00407B45" w:rsidP="3D6176C5">
            <w:pPr>
              <w:keepLines/>
              <w:spacing w:after="0" w:line="240" w:lineRule="auto"/>
            </w:pPr>
          </w:p>
        </w:tc>
      </w:tr>
      <w:tr w:rsidR="001338C4" w:rsidRPr="00C16004" w14:paraId="477D6ACA" w14:textId="2BF9D788" w:rsidTr="363328F0">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4"/>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8"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4"/>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1AAB1D1F" w14:textId="6687943D" w:rsidR="001338C4" w:rsidRPr="00C16004" w:rsidRDefault="3D6176C5" w:rsidP="3D6176C5">
            <w:pPr>
              <w:keepLines/>
              <w:spacing w:after="0" w:line="240" w:lineRule="auto"/>
            </w:pPr>
            <w:r w:rsidRPr="363328F0">
              <w:t xml:space="preserve">Success rates have improved over the last 3 years by 12%. </w:t>
            </w:r>
          </w:p>
          <w:p w14:paraId="224B6D88" w14:textId="2A4900CB" w:rsidR="363328F0" w:rsidRDefault="363328F0" w:rsidP="363328F0">
            <w:pPr>
              <w:spacing w:after="0" w:line="240" w:lineRule="auto"/>
            </w:pPr>
          </w:p>
          <w:p w14:paraId="4133F2ED" w14:textId="1FEDBE9F" w:rsidR="001338C4" w:rsidRPr="00C16004" w:rsidRDefault="3D6176C5" w:rsidP="3D6176C5">
            <w:pPr>
              <w:keepLines/>
              <w:spacing w:after="0" w:line="240" w:lineRule="auto"/>
            </w:pPr>
            <w:r w:rsidRPr="363328F0">
              <w:t xml:space="preserve">Factors include remote learning due to </w:t>
            </w:r>
            <w:proofErr w:type="spellStart"/>
            <w:r w:rsidRPr="363328F0">
              <w:t>Covid</w:t>
            </w:r>
            <w:proofErr w:type="spellEnd"/>
            <w:r w:rsidRPr="363328F0">
              <w:t>.</w:t>
            </w:r>
          </w:p>
          <w:p w14:paraId="747F1D2E" w14:textId="4A21A088" w:rsidR="363328F0" w:rsidRDefault="363328F0" w:rsidP="363328F0">
            <w:pPr>
              <w:spacing w:after="0" w:line="240" w:lineRule="auto"/>
            </w:pPr>
          </w:p>
          <w:p w14:paraId="558CD839" w14:textId="406B245D" w:rsidR="001338C4" w:rsidRPr="00C16004" w:rsidRDefault="3D6176C5" w:rsidP="363328F0">
            <w:pPr>
              <w:keepLines/>
              <w:spacing w:after="0" w:line="240" w:lineRule="auto"/>
            </w:pPr>
            <w:r w:rsidRPr="363328F0">
              <w:t>We plan on continuing to offer online modalities as appropriate to student demand and instructor availability.</w:t>
            </w:r>
            <w:r w:rsidR="001338C4">
              <w:br/>
            </w:r>
          </w:p>
          <w:p w14:paraId="2ACE4636" w14:textId="2E6FE40C" w:rsidR="001338C4" w:rsidRPr="00C16004" w:rsidRDefault="363328F0" w:rsidP="3D6176C5">
            <w:pPr>
              <w:keepLines/>
              <w:spacing w:after="0" w:line="240" w:lineRule="auto"/>
            </w:pPr>
            <w:r w:rsidRPr="363328F0">
              <w:t>Also, we can continue our MPS program to support the students of different background get the academic and counseling support they need. Some of our faculty attend equity workshops and bring their training to the department which can be helpful.</w:t>
            </w:r>
          </w:p>
        </w:tc>
      </w:tr>
      <w:tr w:rsidR="00407B45" w:rsidRPr="00507CEB" w14:paraId="4BDEC6A7" w14:textId="77777777" w:rsidTr="363328F0">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9" w:tgtFrame="_blank" w:history="1">
              <w:r w:rsidRPr="005C2B3B">
                <w:rPr>
                  <w:rStyle w:val="Hyperlink"/>
                  <w:rFonts w:cstheme="minorHAnsi"/>
                  <w:bCs/>
                </w:rPr>
                <w:t>Disproportionate Impact Tool</w:t>
              </w:r>
            </w:hyperlink>
            <w:r w:rsidRPr="005C2B3B">
              <w:rPr>
                <w:rFonts w:cstheme="minorHAnsi"/>
                <w:bCs/>
              </w:rPr>
              <w:t> within the </w:t>
            </w:r>
            <w:hyperlink r:id="rId20" w:tgtFrame="_blank" w:history="1">
              <w:r w:rsidRPr="005C2B3B">
                <w:rPr>
                  <w:rStyle w:val="Hyperlink"/>
                  <w:rFonts w:cstheme="minorHAnsi"/>
                  <w:bCs/>
                </w:rPr>
                <w:t>Program Review Tool</w:t>
              </w:r>
            </w:hyperlink>
            <w:r w:rsidRPr="005C2B3B">
              <w:rPr>
                <w:rFonts w:cstheme="minorHAnsi"/>
                <w:bCs/>
              </w:rPr>
              <w:t xml:space="preserve"> explore differences in success rates by ethnicity, gender and special student populations (foster youth, individuals with disabilities, Veterans and low income students). Of the rows that are highlighted (which indicate there </w:t>
            </w:r>
            <w:r w:rsidRPr="005C2B3B">
              <w:rPr>
                <w:rFonts w:cstheme="minorHAnsi"/>
                <w:bCs/>
              </w:rPr>
              <w:lastRenderedPageBreak/>
              <w:t>are disproportionate impacts for that group): </w:t>
            </w:r>
          </w:p>
          <w:p w14:paraId="3DC8A80C" w14:textId="77777777" w:rsidR="00407B45" w:rsidRPr="005C2B3B" w:rsidRDefault="00407B45" w:rsidP="00407B45">
            <w:pPr>
              <w:pStyle w:val="ListParagraph"/>
              <w:keepLines/>
              <w:numPr>
                <w:ilvl w:val="0"/>
                <w:numId w:val="5"/>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5"/>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5D992711" w14:textId="65FE8CB4" w:rsidR="00407B45" w:rsidRPr="00433F91" w:rsidRDefault="3D6176C5" w:rsidP="3D6176C5">
            <w:pPr>
              <w:pStyle w:val="ListParagraph"/>
              <w:keepLines/>
              <w:numPr>
                <w:ilvl w:val="0"/>
                <w:numId w:val="2"/>
              </w:numPr>
              <w:rPr>
                <w:rFonts w:asciiTheme="minorHAnsi" w:eastAsiaTheme="minorEastAsia" w:hAnsiTheme="minorHAnsi" w:cstheme="minorBidi"/>
                <w:sz w:val="22"/>
                <w:szCs w:val="22"/>
              </w:rPr>
            </w:pPr>
            <w:r w:rsidRPr="3D6176C5">
              <w:rPr>
                <w:rFonts w:cstheme="minorBidi"/>
              </w:rPr>
              <w:lastRenderedPageBreak/>
              <w:t>They are lower than overall averages.</w:t>
            </w:r>
          </w:p>
          <w:p w14:paraId="16B3BF44" w14:textId="4FEBEE5F" w:rsidR="00407B45" w:rsidRPr="00433F91" w:rsidRDefault="3D6176C5" w:rsidP="3D6176C5">
            <w:pPr>
              <w:pStyle w:val="ListParagraph"/>
              <w:keepLines/>
              <w:numPr>
                <w:ilvl w:val="0"/>
                <w:numId w:val="2"/>
              </w:numPr>
              <w:rPr>
                <w:sz w:val="22"/>
                <w:szCs w:val="22"/>
              </w:rPr>
            </w:pPr>
            <w:r w:rsidRPr="3D6176C5">
              <w:rPr>
                <w:rFonts w:cstheme="minorBidi"/>
              </w:rPr>
              <w:t>The continue to follow historic trends</w:t>
            </w:r>
          </w:p>
          <w:p w14:paraId="6096AE0A" w14:textId="5D382829" w:rsidR="00407B45" w:rsidRPr="00433F91" w:rsidRDefault="3D6176C5" w:rsidP="3D6176C5">
            <w:pPr>
              <w:keepLines/>
              <w:spacing w:after="0" w:line="240" w:lineRule="auto"/>
              <w:rPr>
                <w:rFonts w:ascii="Calibri" w:eastAsia="Times New Roman" w:hAnsi="Calibri" w:cs="Times New Roman"/>
                <w:sz w:val="24"/>
                <w:szCs w:val="24"/>
              </w:rPr>
            </w:pPr>
            <w:r w:rsidRPr="3D6176C5">
              <w:rPr>
                <w:rFonts w:ascii="Calibri" w:eastAsia="Times New Roman" w:hAnsi="Calibri"/>
                <w:sz w:val="24"/>
                <w:szCs w:val="24"/>
              </w:rPr>
              <w:t>Strategies</w:t>
            </w:r>
          </w:p>
          <w:p w14:paraId="4FCCF2FC" w14:textId="2842FAD2" w:rsidR="00407B45" w:rsidRPr="00433F91" w:rsidRDefault="3D6176C5" w:rsidP="3D6176C5">
            <w:pPr>
              <w:pStyle w:val="ListParagraph"/>
              <w:keepLines/>
              <w:numPr>
                <w:ilvl w:val="0"/>
                <w:numId w:val="1"/>
              </w:numPr>
              <w:rPr>
                <w:rFonts w:asciiTheme="minorHAnsi" w:eastAsiaTheme="minorEastAsia" w:hAnsiTheme="minorHAnsi" w:cstheme="minorBidi"/>
              </w:rPr>
            </w:pPr>
            <w:r w:rsidRPr="3D6176C5">
              <w:t>As we’re seeing increased success rates, interview disproportionately impacted students to determine what factors they are struggling with (financial aid, access to resources like stable internet, laptops, etc...)</w:t>
            </w:r>
          </w:p>
          <w:p w14:paraId="19066220" w14:textId="2440A8B7" w:rsidR="00407B45" w:rsidRPr="00433F91" w:rsidRDefault="3D6176C5" w:rsidP="363328F0">
            <w:pPr>
              <w:pStyle w:val="ListParagraph"/>
              <w:keepLines/>
              <w:numPr>
                <w:ilvl w:val="0"/>
                <w:numId w:val="1"/>
              </w:numPr>
            </w:pPr>
            <w:r w:rsidRPr="363328F0">
              <w:lastRenderedPageBreak/>
              <w:t>Continue to invest in programs like MPS which have helped bridge the gap.</w:t>
            </w:r>
          </w:p>
          <w:p w14:paraId="619FD5ED" w14:textId="6C200AE0" w:rsidR="00407B45" w:rsidRPr="00433F91" w:rsidRDefault="363328F0" w:rsidP="363328F0">
            <w:pPr>
              <w:pStyle w:val="ListParagraph"/>
              <w:keepLines/>
              <w:numPr>
                <w:ilvl w:val="0"/>
                <w:numId w:val="1"/>
              </w:numPr>
              <w:rPr>
                <w:rFonts w:asciiTheme="minorHAnsi" w:eastAsiaTheme="minorEastAsia" w:hAnsiTheme="minorHAnsi" w:cstheme="minorBidi"/>
              </w:rPr>
            </w:pPr>
            <w:r w:rsidRPr="363328F0">
              <w:t>More counseling support and workshops purely dedicated to equity and math would be helpful.</w:t>
            </w:r>
          </w:p>
        </w:tc>
      </w:tr>
      <w:tr w:rsidR="00407B45" w:rsidRPr="00507CEB" w14:paraId="6B3C0135" w14:textId="46685C3C" w:rsidTr="363328F0">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3CFBDBB0" w:rsidR="00407B45" w:rsidRPr="00433F91" w:rsidRDefault="3D6176C5" w:rsidP="3D6176C5">
            <w:pPr>
              <w:keepLines/>
              <w:spacing w:after="0" w:line="240" w:lineRule="auto"/>
            </w:pPr>
            <w:r w:rsidRPr="3D6176C5">
              <w:t xml:space="preserve">Course offerings have been rebalanced after AB 705, fewer non-transfer level courses are offered to students. </w:t>
            </w:r>
          </w:p>
        </w:tc>
      </w:tr>
      <w:tr w:rsidR="00407B45" w:rsidRPr="00433F91" w14:paraId="56157915" w14:textId="27B81771" w:rsidTr="363328F0">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1"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2"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3"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363328F0">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w:t>
            </w:r>
            <w:r>
              <w:rPr>
                <w:rFonts w:cstheme="minorHAnsi"/>
              </w:rPr>
              <w:lastRenderedPageBreak/>
              <w:t>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lastRenderedPageBreak/>
              <w:t xml:space="preserve">Are there other groups of students besides the </w:t>
            </w:r>
            <w:r>
              <w:rPr>
                <w:rFonts w:cstheme="minorHAnsi"/>
              </w:rPr>
              <w:lastRenderedPageBreak/>
              <w:t xml:space="preserve">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192B092F" w:rsidR="0006098D" w:rsidRPr="00E261E4" w:rsidRDefault="3D6176C5" w:rsidP="3D6176C5">
            <w:pPr>
              <w:keepLines/>
              <w:spacing w:after="0" w:line="240" w:lineRule="auto"/>
              <w:rPr>
                <w:color w:val="000000"/>
              </w:rPr>
            </w:pPr>
            <w:r w:rsidRPr="3D6176C5">
              <w:rPr>
                <w:color w:val="000000" w:themeColor="text1"/>
              </w:rPr>
              <w:lastRenderedPageBreak/>
              <w:t>n/a</w:t>
            </w:r>
          </w:p>
        </w:tc>
      </w:tr>
      <w:tr w:rsidR="00407B45" w:rsidRPr="00E261E4" w14:paraId="102D7910" w14:textId="1E0E235A" w:rsidTr="363328F0">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0222FB21" w:rsidR="00407B45" w:rsidRPr="00E261E4" w:rsidRDefault="363328F0" w:rsidP="363328F0">
            <w:pPr>
              <w:keepLines/>
              <w:spacing w:after="0" w:line="240" w:lineRule="auto"/>
              <w:rPr>
                <w:color w:val="000000"/>
              </w:rPr>
            </w:pPr>
            <w:r w:rsidRPr="363328F0">
              <w:rPr>
                <w:color w:val="000000" w:themeColor="text1"/>
              </w:rPr>
              <w:t>We continue to have joint discussions with the math department at Foothill to increase consistency between campuses and review equity issues.</w:t>
            </w:r>
          </w:p>
        </w:tc>
      </w:tr>
      <w:tr w:rsidR="004700D0" w:rsidRPr="00E261E4" w14:paraId="4E9BA61C" w14:textId="77777777" w:rsidTr="363328F0">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16BF74C8" w:rsidR="004700D0" w:rsidRPr="00E261E4" w:rsidRDefault="3D6176C5" w:rsidP="3D6176C5">
            <w:pPr>
              <w:spacing w:after="0" w:line="240" w:lineRule="auto"/>
              <w:rPr>
                <w:color w:val="000000" w:themeColor="text1"/>
              </w:rPr>
            </w:pPr>
            <w:r w:rsidRPr="3D6176C5">
              <w:rPr>
                <w:color w:val="000000" w:themeColor="text1"/>
              </w:rPr>
              <w:t xml:space="preserve">In order to ensure equity work continues, we need to backfill faculty positions lost due to retirements. </w:t>
            </w:r>
          </w:p>
        </w:tc>
      </w:tr>
      <w:tr w:rsidR="004700D0" w:rsidRPr="00E261E4" w14:paraId="25125F86" w14:textId="77777777" w:rsidTr="363328F0">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8"/>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8"/>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8"/>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8"/>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8"/>
              </w:numPr>
              <w:ind w:hanging="350"/>
              <w:rPr>
                <w:rFonts w:cstheme="minorHAnsi"/>
                <w:bCs/>
                <w:color w:val="000000"/>
              </w:rPr>
            </w:pPr>
            <w:r w:rsidRPr="004700D0">
              <w:rPr>
                <w:rFonts w:cstheme="minorHAnsi"/>
              </w:rPr>
              <w:t>Coaching/Consultation</w:t>
            </w:r>
          </w:p>
        </w:tc>
        <w:tc>
          <w:tcPr>
            <w:tcW w:w="5197" w:type="dxa"/>
          </w:tcPr>
          <w:p w14:paraId="170BF0E6" w14:textId="32ED6085" w:rsidR="004700D0" w:rsidRPr="00E261E4" w:rsidRDefault="3D6176C5" w:rsidP="3D6176C5">
            <w:pPr>
              <w:keepLines/>
              <w:spacing w:after="0" w:line="240" w:lineRule="auto"/>
              <w:rPr>
                <w:color w:val="000000" w:themeColor="text1"/>
              </w:rPr>
            </w:pPr>
            <w:r w:rsidRPr="3D6176C5">
              <w:rPr>
                <w:color w:val="000000" w:themeColor="text1"/>
              </w:rPr>
              <w:t>Professional development – structuring online courses and best practices for online assessment.</w:t>
            </w:r>
          </w:p>
          <w:p w14:paraId="3DBA7B8B" w14:textId="52E7E991" w:rsidR="004700D0" w:rsidRPr="00E261E4" w:rsidRDefault="004700D0" w:rsidP="3D6176C5">
            <w:pPr>
              <w:keepLines/>
              <w:spacing w:after="0" w:line="240" w:lineRule="auto"/>
              <w:rPr>
                <w:color w:val="000000" w:themeColor="text1"/>
              </w:rPr>
            </w:pPr>
          </w:p>
          <w:p w14:paraId="6ED2B90F" w14:textId="2369ADB8" w:rsidR="004700D0" w:rsidRPr="00E261E4" w:rsidRDefault="3D6176C5" w:rsidP="3D6176C5">
            <w:pPr>
              <w:keepLines/>
              <w:spacing w:after="0" w:line="240" w:lineRule="auto"/>
              <w:rPr>
                <w:color w:val="000000"/>
              </w:rPr>
            </w:pPr>
            <w:r w:rsidRPr="3D6176C5">
              <w:rPr>
                <w:color w:val="000000" w:themeColor="text1"/>
              </w:rPr>
              <w:t>Additional resources around in-class assessment for courses delivered primarily online.</w:t>
            </w:r>
          </w:p>
        </w:tc>
      </w:tr>
      <w:tr w:rsidR="004700D0" w:rsidRPr="00E261E4" w14:paraId="4290BF80" w14:textId="77777777" w:rsidTr="363328F0">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101B34E1" w:rsidR="004700D0" w:rsidRPr="00E261E4" w:rsidRDefault="3D6176C5" w:rsidP="3D6176C5">
            <w:pPr>
              <w:keepLines/>
              <w:spacing w:after="0" w:line="240" w:lineRule="auto"/>
              <w:rPr>
                <w:color w:val="000000"/>
              </w:rPr>
            </w:pPr>
            <w:r w:rsidRPr="3D6176C5">
              <w:rPr>
                <w:color w:val="000000" w:themeColor="text1"/>
              </w:rPr>
              <w:t>Yes.</w:t>
            </w:r>
          </w:p>
        </w:tc>
      </w:tr>
      <w:tr w:rsidR="00407B45" w:rsidRPr="00433F91" w14:paraId="4DCC9C03" w14:textId="0C9FC9B6" w:rsidTr="363328F0">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4"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w:t>
            </w:r>
            <w:r>
              <w:rPr>
                <w:rFonts w:cstheme="minorHAnsi"/>
              </w:rPr>
              <w:lastRenderedPageBreak/>
              <w:t xml:space="preserve">SLO assessments </w:t>
            </w:r>
            <w:r w:rsidR="00407B45" w:rsidRPr="00E261E4">
              <w:rPr>
                <w:rFonts w:cstheme="minorHAnsi"/>
              </w:rPr>
              <w:t>under “Student Learning Outcomes and Assessments Summaries by Division:”</w:t>
            </w:r>
          </w:p>
        </w:tc>
        <w:tc>
          <w:tcPr>
            <w:tcW w:w="5197" w:type="dxa"/>
          </w:tcPr>
          <w:p w14:paraId="690A13CC" w14:textId="249874E8" w:rsidR="00407B45" w:rsidRPr="00E261E4" w:rsidRDefault="00407B45" w:rsidP="3D6176C5">
            <w:pPr>
              <w:keepLines/>
              <w:spacing w:after="0" w:line="240" w:lineRule="auto"/>
              <w:jc w:val="both"/>
            </w:pPr>
          </w:p>
        </w:tc>
      </w:tr>
      <w:tr w:rsidR="00407B45" w:rsidRPr="00433F91" w14:paraId="48B2B9DB" w14:textId="42A65A4B" w:rsidTr="363328F0">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56CD0F1" w14:textId="62D9E456" w:rsidR="00407B45" w:rsidRDefault="3D6176C5" w:rsidP="3D6176C5">
            <w:pPr>
              <w:pStyle w:val="ListParagraph"/>
              <w:keepLines/>
              <w:numPr>
                <w:ilvl w:val="0"/>
                <w:numId w:val="3"/>
              </w:numPr>
              <w:jc w:val="both"/>
              <w:rPr>
                <w:rFonts w:asciiTheme="minorHAnsi" w:eastAsiaTheme="minorEastAsia" w:hAnsiTheme="minorHAnsi" w:cstheme="minorBidi"/>
                <w:sz w:val="22"/>
                <w:szCs w:val="22"/>
              </w:rPr>
            </w:pPr>
            <w:r w:rsidRPr="3D6176C5">
              <w:t>More practice with word problems using web-based homework problems</w:t>
            </w:r>
          </w:p>
          <w:p w14:paraId="5DFD777E" w14:textId="03E4128E" w:rsidR="00407B45" w:rsidRDefault="3D6176C5" w:rsidP="3D6176C5">
            <w:pPr>
              <w:pStyle w:val="ListParagraph"/>
              <w:keepLines/>
              <w:numPr>
                <w:ilvl w:val="0"/>
                <w:numId w:val="3"/>
              </w:numPr>
              <w:jc w:val="both"/>
              <w:rPr>
                <w:sz w:val="22"/>
                <w:szCs w:val="22"/>
              </w:rPr>
            </w:pPr>
            <w:r w:rsidRPr="3D6176C5">
              <w:t xml:space="preserve">Reinforce problem types to clarify misunderstanding between </w:t>
            </w:r>
            <w:proofErr w:type="gramStart"/>
            <w:r w:rsidRPr="3D6176C5">
              <w:t>definitions  vs</w:t>
            </w:r>
            <w:proofErr w:type="gramEnd"/>
            <w:r w:rsidRPr="3D6176C5">
              <w:t xml:space="preserve"> concepts. </w:t>
            </w:r>
          </w:p>
          <w:p w14:paraId="505F4111" w14:textId="12AAEC5E" w:rsidR="00407B45" w:rsidRDefault="00407B45" w:rsidP="3D6176C5">
            <w:pPr>
              <w:keepLines/>
              <w:jc w:val="both"/>
              <w:rPr>
                <w:rFonts w:ascii="Calibri" w:eastAsia="Times New Roman" w:hAnsi="Calibri" w:cs="Times New Roman"/>
                <w:sz w:val="24"/>
                <w:szCs w:val="24"/>
              </w:rPr>
            </w:pPr>
          </w:p>
          <w:p w14:paraId="02E2B948" w14:textId="48F97642" w:rsidR="00407B45" w:rsidRDefault="00407B45" w:rsidP="3D6176C5">
            <w:pPr>
              <w:pStyle w:val="ListParagraph"/>
              <w:keepLines/>
            </w:pPr>
          </w:p>
        </w:tc>
      </w:tr>
      <w:tr w:rsidR="00407B45" w:rsidRPr="00433F91" w14:paraId="00BB7E30" w14:textId="4EEA9DF4" w:rsidTr="363328F0">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2D249D52" w:rsidR="00407B45" w:rsidRPr="005C2B3B" w:rsidRDefault="363328F0" w:rsidP="363328F0">
            <w:pPr>
              <w:keepLines/>
              <w:spacing w:after="0" w:line="240" w:lineRule="auto"/>
            </w:pPr>
            <w:r w:rsidRPr="363328F0">
              <w:t>We assess every course every year.</w:t>
            </w:r>
          </w:p>
        </w:tc>
      </w:tr>
      <w:tr w:rsidR="00407B45" w:rsidRPr="00433F91" w14:paraId="4423F5CE" w14:textId="1EF05540" w:rsidTr="363328F0">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363328F0">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68D9E803" w:rsidR="00407B45" w:rsidRPr="00433F91" w:rsidRDefault="3D6176C5" w:rsidP="3D6176C5">
            <w:pPr>
              <w:keepLines/>
              <w:spacing w:after="0" w:line="240" w:lineRule="auto"/>
            </w:pPr>
            <w:r w:rsidRPr="3D6176C5">
              <w:t>Lowering enrollment leading to contracted budget implies fewer F/T hiring which makes scheduling and course offering for our students more difficult.</w:t>
            </w:r>
          </w:p>
        </w:tc>
      </w:tr>
      <w:tr w:rsidR="00407B45" w:rsidRPr="00433F91" w14:paraId="2A0CCC47" w14:textId="388F35B8" w:rsidTr="363328F0">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w:t>
            </w:r>
            <w:r w:rsidR="00407B45" w:rsidRPr="00433F91">
              <w:rPr>
                <w:rFonts w:cstheme="minorHAnsi"/>
              </w:rPr>
              <w:lastRenderedPageBreak/>
              <w:t xml:space="preserve">serve its students. Refer to Program Review data sheets for enrollment information: </w:t>
            </w:r>
            <w:r w:rsidR="00407B45" w:rsidRPr="00433F91">
              <w:rPr>
                <w:rFonts w:cstheme="minorHAnsi"/>
                <w:color w:val="000000"/>
              </w:rPr>
              <w:t xml:space="preserve">  </w:t>
            </w:r>
          </w:p>
        </w:tc>
        <w:tc>
          <w:tcPr>
            <w:tcW w:w="5197" w:type="dxa"/>
          </w:tcPr>
          <w:p w14:paraId="690CA032" w14:textId="39A696F2" w:rsidR="00407B45" w:rsidRPr="00433F91" w:rsidRDefault="3D6176C5" w:rsidP="3D6176C5">
            <w:pPr>
              <w:keepLines/>
              <w:spacing w:after="0" w:line="240" w:lineRule="auto"/>
            </w:pPr>
            <w:r w:rsidRPr="3D6176C5">
              <w:lastRenderedPageBreak/>
              <w:t xml:space="preserve">Similar to above, fewer </w:t>
            </w:r>
            <w:proofErr w:type="gramStart"/>
            <w:r w:rsidRPr="3D6176C5">
              <w:t>full time</w:t>
            </w:r>
            <w:proofErr w:type="gramEnd"/>
            <w:r w:rsidRPr="3D6176C5">
              <w:t xml:space="preserve"> instructors restricts the number of courses that we can offer and support we can give our students.</w:t>
            </w:r>
          </w:p>
        </w:tc>
      </w:tr>
      <w:tr w:rsidR="00407B45" w:rsidRPr="00433F91" w14:paraId="41CB7ABB" w14:textId="246A7B87" w:rsidTr="363328F0">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38C5D529" w:rsidR="00407B45" w:rsidRPr="00433F91" w:rsidRDefault="3D6176C5" w:rsidP="3D6176C5">
            <w:pPr>
              <w:keepLines/>
              <w:spacing w:after="0" w:line="240" w:lineRule="auto"/>
            </w:pPr>
            <w:r w:rsidRPr="363328F0">
              <w:t xml:space="preserve">6 positions replace due to vacancy </w:t>
            </w:r>
          </w:p>
        </w:tc>
      </w:tr>
      <w:tr w:rsidR="00407B45" w:rsidRPr="00433F91" w14:paraId="1EAA083B" w14:textId="54B1F385" w:rsidTr="363328F0">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6452A704" w14:textId="66F7613F" w:rsidR="00407B45" w:rsidRPr="00433F91" w:rsidRDefault="363328F0" w:rsidP="3D6176C5">
            <w:pPr>
              <w:keepLines/>
              <w:spacing w:after="0" w:line="240" w:lineRule="auto"/>
            </w:pPr>
            <w:r w:rsidRPr="363328F0">
              <w:rPr>
                <w:rFonts w:ascii="Calibri" w:eastAsia="Calibri" w:hAnsi="Calibri" w:cs="Calibri"/>
              </w:rPr>
              <w:t xml:space="preserve">We have lost instructors to retirement and had previous requests either reduced or moved to other areas (engineering) which means that we are shorthanded and understaffed. It is also worth mentioning, the individuals who meet our min </w:t>
            </w:r>
            <w:proofErr w:type="spellStart"/>
            <w:r w:rsidRPr="363328F0">
              <w:rPr>
                <w:rFonts w:ascii="Calibri" w:eastAsia="Calibri" w:hAnsi="Calibri" w:cs="Calibri"/>
              </w:rPr>
              <w:t>quals</w:t>
            </w:r>
            <w:proofErr w:type="spellEnd"/>
            <w:r w:rsidRPr="363328F0">
              <w:rPr>
                <w:rFonts w:ascii="Calibri" w:eastAsia="Calibri" w:hAnsi="Calibri" w:cs="Calibri"/>
              </w:rPr>
              <w:t xml:space="preserve"> can find jobs with much higher pay than </w:t>
            </w:r>
            <w:proofErr w:type="spellStart"/>
            <w:r w:rsidRPr="363328F0">
              <w:rPr>
                <w:rFonts w:ascii="Calibri" w:eastAsia="Calibri" w:hAnsi="Calibri" w:cs="Calibri"/>
              </w:rPr>
              <w:t>parttime</w:t>
            </w:r>
            <w:proofErr w:type="spellEnd"/>
            <w:r w:rsidRPr="363328F0">
              <w:rPr>
                <w:rFonts w:ascii="Calibri" w:eastAsia="Calibri" w:hAnsi="Calibri" w:cs="Calibri"/>
              </w:rPr>
              <w:t xml:space="preserve"> employment so it has become very hard to recruit </w:t>
            </w:r>
            <w:proofErr w:type="spellStart"/>
            <w:r w:rsidRPr="363328F0">
              <w:rPr>
                <w:rFonts w:ascii="Calibri" w:eastAsia="Calibri" w:hAnsi="Calibri" w:cs="Calibri"/>
              </w:rPr>
              <w:t>parttime</w:t>
            </w:r>
            <w:proofErr w:type="spellEnd"/>
            <w:r w:rsidRPr="363328F0">
              <w:rPr>
                <w:rFonts w:ascii="Calibri" w:eastAsia="Calibri" w:hAnsi="Calibri" w:cs="Calibri"/>
              </w:rPr>
              <w:t xml:space="preserve"> faculty. We have tapped out the local market of qualified candidates. We face the prospect of a reduction in the number of sections we are able to offer as we lose full-time instructors without adding any new ones. Also, we expect the number of retirements to continue next year so this problem is likely to get worse.</w:t>
            </w:r>
          </w:p>
          <w:p w14:paraId="5770A184" w14:textId="37280DBA" w:rsidR="00407B45" w:rsidRPr="00433F91" w:rsidRDefault="00407B45" w:rsidP="3D6176C5">
            <w:pPr>
              <w:keepLines/>
              <w:spacing w:after="0" w:line="240" w:lineRule="auto"/>
            </w:pPr>
          </w:p>
          <w:p w14:paraId="49D81526" w14:textId="561DDA1F" w:rsidR="00407B45" w:rsidRPr="00433F91" w:rsidRDefault="363328F0" w:rsidP="363328F0">
            <w:pPr>
              <w:keepLines/>
              <w:spacing w:after="0" w:line="240" w:lineRule="auto"/>
            </w:pPr>
            <w:r>
              <w:t xml:space="preserve">Note: Having FT faculty allows us to offer more sections and expands the pool of faculty that can contribute to shared governance (committee work, curriculum review, SLO assessments, etc...) around the campus.  </w:t>
            </w:r>
          </w:p>
        </w:tc>
      </w:tr>
      <w:tr w:rsidR="00407B45" w:rsidRPr="00433F91" w14:paraId="6AB9CB29" w14:textId="01B038DC" w:rsidTr="363328F0">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57913BAF" w:rsidR="00407B45" w:rsidRPr="00433F91" w:rsidRDefault="3D6176C5" w:rsidP="3D6176C5">
            <w:pPr>
              <w:keepLines/>
              <w:spacing w:after="0" w:line="240" w:lineRule="auto"/>
            </w:pPr>
            <w:r w:rsidRPr="363328F0">
              <w:t>None needed</w:t>
            </w:r>
          </w:p>
        </w:tc>
      </w:tr>
      <w:tr w:rsidR="00407B45" w:rsidRPr="00433F91" w14:paraId="78F4C2DA" w14:textId="790DD79A" w:rsidTr="363328F0">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3722E19A" w:rsidR="00407B45" w:rsidRPr="00433F91" w:rsidRDefault="3D6176C5" w:rsidP="3D6176C5">
            <w:pPr>
              <w:keepLines/>
              <w:spacing w:after="0" w:line="240" w:lineRule="auto"/>
            </w:pPr>
            <w:r w:rsidRPr="3D6176C5">
              <w:t>N/A</w:t>
            </w:r>
          </w:p>
        </w:tc>
      </w:tr>
      <w:tr w:rsidR="00407B45" w:rsidRPr="00433F91" w14:paraId="0C0DAA54" w14:textId="7E1ABDFF" w:rsidTr="363328F0">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77777777" w:rsidR="00407B45" w:rsidRPr="005C2B3B" w:rsidRDefault="00407B45" w:rsidP="00407B45">
            <w:pPr>
              <w:keepLines/>
              <w:spacing w:after="0" w:line="240" w:lineRule="auto"/>
              <w:rPr>
                <w:rFonts w:cstheme="minorHAnsi"/>
                <w:color w:val="000000"/>
              </w:rPr>
            </w:pPr>
          </w:p>
        </w:tc>
      </w:tr>
      <w:tr w:rsidR="00407B45" w:rsidRPr="00433F91" w14:paraId="4516D889" w14:textId="574DCFB7" w:rsidTr="363328F0">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77777777" w:rsidR="00407B45" w:rsidRPr="005C2B3B" w:rsidRDefault="00407B45" w:rsidP="00407B45">
            <w:pPr>
              <w:keepLines/>
              <w:spacing w:after="0" w:line="240" w:lineRule="auto"/>
              <w:rPr>
                <w:rFonts w:cstheme="minorHAnsi"/>
                <w:color w:val="000000"/>
              </w:rPr>
            </w:pPr>
          </w:p>
        </w:tc>
      </w:tr>
      <w:tr w:rsidR="00407B45" w:rsidRPr="00433F91" w14:paraId="686FA49B" w14:textId="63762009" w:rsidTr="363328F0">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82F1123" w14:textId="0B8C16BD" w:rsidR="00407B45" w:rsidRPr="005C2B3B" w:rsidRDefault="363328F0" w:rsidP="363328F0">
            <w:pPr>
              <w:keepLines/>
              <w:spacing w:after="0" w:line="240" w:lineRule="auto"/>
              <w:rPr>
                <w:color w:val="000000" w:themeColor="text1"/>
              </w:rPr>
            </w:pPr>
            <w:r w:rsidRPr="363328F0">
              <w:rPr>
                <w:color w:val="000000" w:themeColor="text1"/>
              </w:rPr>
              <w:t>Instructor copies of on-line textbooks.</w:t>
            </w:r>
          </w:p>
          <w:p w14:paraId="5B7F3F6C" w14:textId="6F41F78E" w:rsidR="00407B45" w:rsidRPr="005C2B3B" w:rsidRDefault="363328F0" w:rsidP="363328F0">
            <w:pPr>
              <w:keepLines/>
              <w:spacing w:after="0" w:line="240" w:lineRule="auto"/>
              <w:rPr>
                <w:color w:val="000000" w:themeColor="text1"/>
              </w:rPr>
            </w:pPr>
            <w:r w:rsidRPr="363328F0">
              <w:rPr>
                <w:color w:val="000000" w:themeColor="text1"/>
              </w:rPr>
              <w:t>Increased budget for photocopying.</w:t>
            </w:r>
          </w:p>
          <w:p w14:paraId="45B7E05F" w14:textId="23F70F6F" w:rsidR="00407B45" w:rsidRPr="005C2B3B" w:rsidRDefault="363328F0" w:rsidP="363328F0">
            <w:pPr>
              <w:keepLines/>
              <w:spacing w:after="0" w:line="240" w:lineRule="auto"/>
              <w:rPr>
                <w:color w:val="000000"/>
              </w:rPr>
            </w:pPr>
            <w:r w:rsidRPr="363328F0">
              <w:rPr>
                <w:color w:val="000000" w:themeColor="text1"/>
              </w:rPr>
              <w:t>Funding for department workshops and/or retreats.</w:t>
            </w:r>
          </w:p>
        </w:tc>
      </w:tr>
      <w:tr w:rsidR="00407B45" w:rsidRPr="00433F91" w14:paraId="36C89DAC" w14:textId="3A2773F4" w:rsidTr="363328F0">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59684DAC" w14:textId="593A10B8" w:rsidR="00407B45" w:rsidRDefault="3D6176C5" w:rsidP="3D6176C5">
            <w:pPr>
              <w:keepLines/>
              <w:spacing w:after="0" w:line="240" w:lineRule="auto"/>
              <w:rPr>
                <w:rFonts w:ascii="Arial" w:hAnsi="Arial" w:cs="Arial"/>
                <w:color w:val="000000" w:themeColor="text1"/>
                <w:sz w:val="20"/>
                <w:szCs w:val="20"/>
              </w:rPr>
            </w:pPr>
            <w:r w:rsidRPr="3D6176C5">
              <w:rPr>
                <w:rFonts w:ascii="Arial" w:hAnsi="Arial" w:cs="Arial"/>
                <w:color w:val="000000" w:themeColor="text1"/>
                <w:sz w:val="20"/>
                <w:szCs w:val="20"/>
              </w:rPr>
              <w:t>Continued avenues for online training (especially assessment)</w:t>
            </w:r>
          </w:p>
          <w:p w14:paraId="16983082" w14:textId="1482DDED" w:rsidR="00407B45" w:rsidRDefault="00407B45" w:rsidP="3D6176C5">
            <w:pPr>
              <w:keepLines/>
              <w:spacing w:after="0" w:line="240" w:lineRule="auto"/>
              <w:rPr>
                <w:rFonts w:ascii="Arial" w:hAnsi="Arial" w:cs="Arial"/>
                <w:color w:val="000000"/>
                <w:sz w:val="20"/>
                <w:szCs w:val="20"/>
                <w:shd w:val="clear" w:color="auto" w:fill="FFFFFF"/>
              </w:rPr>
            </w:pPr>
          </w:p>
        </w:tc>
      </w:tr>
      <w:tr w:rsidR="00407B45" w:rsidRPr="00433F91" w14:paraId="4084C510" w14:textId="6789AF09" w:rsidTr="363328F0">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w:t>
            </w:r>
            <w:r w:rsidRPr="00434997">
              <w:rPr>
                <w:rFonts w:cstheme="minorHAnsi"/>
              </w:rPr>
              <w:lastRenderedPageBreak/>
              <w:t>provide other data to support this need.</w:t>
            </w:r>
          </w:p>
        </w:tc>
        <w:tc>
          <w:tcPr>
            <w:tcW w:w="5197" w:type="dxa"/>
          </w:tcPr>
          <w:p w14:paraId="280CD4DF" w14:textId="4091BF8D" w:rsidR="00407B45" w:rsidRPr="00434997" w:rsidRDefault="3D6176C5" w:rsidP="3D6176C5">
            <w:pPr>
              <w:keepLines/>
              <w:spacing w:after="0" w:line="240" w:lineRule="auto"/>
            </w:pPr>
            <w:r w:rsidRPr="3D6176C5">
              <w:lastRenderedPageBreak/>
              <w:t>We are offering more online courses which require our faculty to continue to adapt to new modalities. Training will help our faculty better serve students.</w:t>
            </w:r>
          </w:p>
        </w:tc>
      </w:tr>
      <w:tr w:rsidR="00407B45" w:rsidRPr="00433F91" w14:paraId="3BDA86CF" w14:textId="0F4F385F" w:rsidTr="363328F0">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20687CAB" w14:textId="10C4E7E7" w:rsidR="00407B45" w:rsidRPr="00433F91" w:rsidRDefault="363328F0" w:rsidP="363328F0">
            <w:pPr>
              <w:keepLines/>
              <w:spacing w:after="0" w:line="240" w:lineRule="auto"/>
            </w:pPr>
            <w:r w:rsidRPr="363328F0">
              <w:t>We plan to assess the outcomes of receiving additional resources by analyzing the data in light of the degree to which it supports:</w:t>
            </w:r>
          </w:p>
          <w:p w14:paraId="747F253B" w14:textId="3C3B7445" w:rsidR="00407B45" w:rsidRPr="00433F91" w:rsidRDefault="363328F0" w:rsidP="363328F0">
            <w:pPr>
              <w:keepLines/>
              <w:spacing w:after="0" w:line="240" w:lineRule="auto"/>
            </w:pPr>
            <w:r w:rsidRPr="363328F0">
              <w:t>• increased enrollment</w:t>
            </w:r>
          </w:p>
          <w:p w14:paraId="504BB1B7" w14:textId="7BDA20C4" w:rsidR="00407B45" w:rsidRPr="00433F91" w:rsidRDefault="363328F0" w:rsidP="363328F0">
            <w:pPr>
              <w:keepLines/>
              <w:spacing w:after="0" w:line="240" w:lineRule="auto"/>
            </w:pPr>
            <w:r w:rsidRPr="363328F0">
              <w:t>• decreased equity gap</w:t>
            </w:r>
          </w:p>
          <w:p w14:paraId="5EB4561E" w14:textId="10980B0B" w:rsidR="00407B45" w:rsidRPr="00433F91" w:rsidRDefault="363328F0" w:rsidP="363328F0">
            <w:pPr>
              <w:keepLines/>
              <w:spacing w:after="0" w:line="240" w:lineRule="auto"/>
            </w:pPr>
            <w:r w:rsidRPr="363328F0">
              <w:t>• improved overall success rates</w:t>
            </w:r>
          </w:p>
          <w:p w14:paraId="6D324151" w14:textId="00647924" w:rsidR="00407B45" w:rsidRPr="00433F91" w:rsidRDefault="363328F0" w:rsidP="363328F0">
            <w:pPr>
              <w:keepLines/>
              <w:spacing w:after="0" w:line="240" w:lineRule="auto"/>
            </w:pPr>
            <w:r w:rsidRPr="363328F0">
              <w:t>• increase the number of degrees awarded</w:t>
            </w:r>
          </w:p>
        </w:tc>
      </w:tr>
      <w:tr w:rsidR="00407B45" w:rsidRPr="00433F91" w14:paraId="2931275E" w14:textId="3C00B218" w:rsidTr="363328F0">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2225F175" w:rsidR="00407B45" w:rsidRPr="00433F91" w:rsidRDefault="3D6176C5" w:rsidP="3D6176C5">
            <w:pPr>
              <w:keepLines/>
              <w:spacing w:after="0" w:line="240" w:lineRule="auto"/>
            </w:pPr>
            <w:r w:rsidRPr="3D6176C5">
              <w:t>Harman Dhaliwal</w:t>
            </w:r>
          </w:p>
        </w:tc>
      </w:tr>
      <w:tr w:rsidR="00407B45" w:rsidRPr="00433F91" w14:paraId="41939166" w14:textId="4C68495E" w:rsidTr="363328F0">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1CE4844" w:rsidR="00407B45" w:rsidRPr="00433F91" w:rsidRDefault="3D6176C5" w:rsidP="3D6176C5">
            <w:pPr>
              <w:keepLines/>
              <w:spacing w:after="0" w:line="240" w:lineRule="auto"/>
            </w:pPr>
            <w:r w:rsidRPr="3D6176C5">
              <w:t>4/2/2022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headerReference w:type="default" r:id="rId25"/>
      <w:foot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AFC90" w14:textId="77777777" w:rsidR="00E908A9" w:rsidRDefault="00E908A9">
      <w:pPr>
        <w:spacing w:after="0" w:line="240" w:lineRule="auto"/>
      </w:pPr>
      <w:r>
        <w:separator/>
      </w:r>
    </w:p>
  </w:endnote>
  <w:endnote w:type="continuationSeparator" w:id="0">
    <w:p w14:paraId="33DA312E" w14:textId="77777777" w:rsidR="00E908A9" w:rsidRDefault="00E9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363328F0" w14:paraId="0FE2AE87" w14:textId="77777777" w:rsidTr="363328F0">
      <w:tc>
        <w:tcPr>
          <w:tcW w:w="4320" w:type="dxa"/>
        </w:tcPr>
        <w:p w14:paraId="41A59466" w14:textId="23F9B0DC" w:rsidR="363328F0" w:rsidRDefault="363328F0" w:rsidP="363328F0">
          <w:pPr>
            <w:pStyle w:val="Header"/>
            <w:ind w:left="-115"/>
          </w:pPr>
        </w:p>
      </w:tc>
      <w:tc>
        <w:tcPr>
          <w:tcW w:w="4320" w:type="dxa"/>
        </w:tcPr>
        <w:p w14:paraId="2C6B5F13" w14:textId="67A03C9C" w:rsidR="363328F0" w:rsidRDefault="363328F0" w:rsidP="363328F0">
          <w:pPr>
            <w:pStyle w:val="Header"/>
            <w:jc w:val="center"/>
          </w:pPr>
        </w:p>
      </w:tc>
      <w:tc>
        <w:tcPr>
          <w:tcW w:w="4320" w:type="dxa"/>
        </w:tcPr>
        <w:p w14:paraId="5FA9D1BD" w14:textId="5D25D4C8" w:rsidR="363328F0" w:rsidRDefault="363328F0" w:rsidP="363328F0">
          <w:pPr>
            <w:pStyle w:val="Header"/>
            <w:ind w:right="-115"/>
            <w:jc w:val="right"/>
          </w:pPr>
        </w:p>
      </w:tc>
    </w:tr>
  </w:tbl>
  <w:p w14:paraId="6BC5899C" w14:textId="0FE10839" w:rsidR="363328F0" w:rsidRDefault="363328F0" w:rsidP="3633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279C" w14:textId="77777777" w:rsidR="00E908A9" w:rsidRDefault="00E908A9">
      <w:pPr>
        <w:spacing w:after="0" w:line="240" w:lineRule="auto"/>
      </w:pPr>
      <w:r>
        <w:separator/>
      </w:r>
    </w:p>
  </w:footnote>
  <w:footnote w:type="continuationSeparator" w:id="0">
    <w:p w14:paraId="0006F183" w14:textId="77777777" w:rsidR="00E908A9" w:rsidRDefault="00E9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363328F0" w14:paraId="16F5B2AD" w14:textId="77777777" w:rsidTr="363328F0">
      <w:tc>
        <w:tcPr>
          <w:tcW w:w="4320" w:type="dxa"/>
        </w:tcPr>
        <w:p w14:paraId="298CDFDC" w14:textId="0C918D68" w:rsidR="363328F0" w:rsidRDefault="363328F0" w:rsidP="363328F0">
          <w:pPr>
            <w:pStyle w:val="Header"/>
            <w:ind w:left="-115"/>
          </w:pPr>
        </w:p>
      </w:tc>
      <w:tc>
        <w:tcPr>
          <w:tcW w:w="4320" w:type="dxa"/>
        </w:tcPr>
        <w:p w14:paraId="68F2A32A" w14:textId="1FAD080C" w:rsidR="363328F0" w:rsidRDefault="363328F0" w:rsidP="363328F0">
          <w:pPr>
            <w:pStyle w:val="Header"/>
            <w:jc w:val="center"/>
          </w:pPr>
        </w:p>
      </w:tc>
      <w:tc>
        <w:tcPr>
          <w:tcW w:w="4320" w:type="dxa"/>
        </w:tcPr>
        <w:p w14:paraId="77A4107B" w14:textId="2AA26B12" w:rsidR="363328F0" w:rsidRDefault="363328F0" w:rsidP="363328F0">
          <w:pPr>
            <w:pStyle w:val="Header"/>
            <w:ind w:right="-115"/>
            <w:jc w:val="right"/>
          </w:pPr>
        </w:p>
      </w:tc>
    </w:tr>
  </w:tbl>
  <w:p w14:paraId="44982F11" w14:textId="30208024" w:rsidR="363328F0" w:rsidRDefault="363328F0" w:rsidP="3633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3247C0"/>
    <w:multiLevelType w:val="hybridMultilevel"/>
    <w:tmpl w:val="83442D5E"/>
    <w:lvl w:ilvl="0" w:tplc="F81A8AF6">
      <w:start w:val="1"/>
      <w:numFmt w:val="bullet"/>
      <w:lvlText w:val=""/>
      <w:lvlJc w:val="left"/>
      <w:pPr>
        <w:ind w:left="720" w:hanging="360"/>
      </w:pPr>
      <w:rPr>
        <w:rFonts w:ascii="Symbol" w:hAnsi="Symbol" w:hint="default"/>
      </w:rPr>
    </w:lvl>
    <w:lvl w:ilvl="1" w:tplc="9C586950">
      <w:start w:val="1"/>
      <w:numFmt w:val="bullet"/>
      <w:lvlText w:val="o"/>
      <w:lvlJc w:val="left"/>
      <w:pPr>
        <w:ind w:left="1440" w:hanging="360"/>
      </w:pPr>
      <w:rPr>
        <w:rFonts w:ascii="Courier New" w:hAnsi="Courier New" w:hint="default"/>
      </w:rPr>
    </w:lvl>
    <w:lvl w:ilvl="2" w:tplc="B796971C">
      <w:start w:val="1"/>
      <w:numFmt w:val="bullet"/>
      <w:lvlText w:val=""/>
      <w:lvlJc w:val="left"/>
      <w:pPr>
        <w:ind w:left="2160" w:hanging="360"/>
      </w:pPr>
      <w:rPr>
        <w:rFonts w:ascii="Wingdings" w:hAnsi="Wingdings" w:hint="default"/>
      </w:rPr>
    </w:lvl>
    <w:lvl w:ilvl="3" w:tplc="9A86A674">
      <w:start w:val="1"/>
      <w:numFmt w:val="bullet"/>
      <w:lvlText w:val=""/>
      <w:lvlJc w:val="left"/>
      <w:pPr>
        <w:ind w:left="2880" w:hanging="360"/>
      </w:pPr>
      <w:rPr>
        <w:rFonts w:ascii="Symbol" w:hAnsi="Symbol" w:hint="default"/>
      </w:rPr>
    </w:lvl>
    <w:lvl w:ilvl="4" w:tplc="4B80FB9C">
      <w:start w:val="1"/>
      <w:numFmt w:val="bullet"/>
      <w:lvlText w:val="o"/>
      <w:lvlJc w:val="left"/>
      <w:pPr>
        <w:ind w:left="3600" w:hanging="360"/>
      </w:pPr>
      <w:rPr>
        <w:rFonts w:ascii="Courier New" w:hAnsi="Courier New" w:hint="default"/>
      </w:rPr>
    </w:lvl>
    <w:lvl w:ilvl="5" w:tplc="4C9EAED8">
      <w:start w:val="1"/>
      <w:numFmt w:val="bullet"/>
      <w:lvlText w:val=""/>
      <w:lvlJc w:val="left"/>
      <w:pPr>
        <w:ind w:left="4320" w:hanging="360"/>
      </w:pPr>
      <w:rPr>
        <w:rFonts w:ascii="Wingdings" w:hAnsi="Wingdings" w:hint="default"/>
      </w:rPr>
    </w:lvl>
    <w:lvl w:ilvl="6" w:tplc="33966EBC">
      <w:start w:val="1"/>
      <w:numFmt w:val="bullet"/>
      <w:lvlText w:val=""/>
      <w:lvlJc w:val="left"/>
      <w:pPr>
        <w:ind w:left="5040" w:hanging="360"/>
      </w:pPr>
      <w:rPr>
        <w:rFonts w:ascii="Symbol" w:hAnsi="Symbol" w:hint="default"/>
      </w:rPr>
    </w:lvl>
    <w:lvl w:ilvl="7" w:tplc="B20627D8">
      <w:start w:val="1"/>
      <w:numFmt w:val="bullet"/>
      <w:lvlText w:val="o"/>
      <w:lvlJc w:val="left"/>
      <w:pPr>
        <w:ind w:left="5760" w:hanging="360"/>
      </w:pPr>
      <w:rPr>
        <w:rFonts w:ascii="Courier New" w:hAnsi="Courier New" w:hint="default"/>
      </w:rPr>
    </w:lvl>
    <w:lvl w:ilvl="8" w:tplc="CCFA4242">
      <w:start w:val="1"/>
      <w:numFmt w:val="bullet"/>
      <w:lvlText w:val=""/>
      <w:lvlJc w:val="left"/>
      <w:pPr>
        <w:ind w:left="6480" w:hanging="360"/>
      </w:pPr>
      <w:rPr>
        <w:rFonts w:ascii="Wingdings" w:hAnsi="Wingdings" w:hint="default"/>
      </w:rPr>
    </w:lvl>
  </w:abstractNum>
  <w:abstractNum w:abstractNumId="5" w15:restartNumberingAfterBreak="0">
    <w:nsid w:val="768B7318"/>
    <w:multiLevelType w:val="hybridMultilevel"/>
    <w:tmpl w:val="5AE20E66"/>
    <w:lvl w:ilvl="0" w:tplc="B2226E74">
      <w:start w:val="1"/>
      <w:numFmt w:val="bullet"/>
      <w:lvlText w:val=""/>
      <w:lvlJc w:val="left"/>
      <w:pPr>
        <w:ind w:left="720" w:hanging="360"/>
      </w:pPr>
      <w:rPr>
        <w:rFonts w:ascii="Symbol" w:hAnsi="Symbol" w:hint="default"/>
      </w:rPr>
    </w:lvl>
    <w:lvl w:ilvl="1" w:tplc="F7168F42">
      <w:start w:val="1"/>
      <w:numFmt w:val="bullet"/>
      <w:lvlText w:val="o"/>
      <w:lvlJc w:val="left"/>
      <w:pPr>
        <w:ind w:left="1440" w:hanging="360"/>
      </w:pPr>
      <w:rPr>
        <w:rFonts w:ascii="Courier New" w:hAnsi="Courier New" w:hint="default"/>
      </w:rPr>
    </w:lvl>
    <w:lvl w:ilvl="2" w:tplc="49189E40">
      <w:start w:val="1"/>
      <w:numFmt w:val="bullet"/>
      <w:lvlText w:val=""/>
      <w:lvlJc w:val="left"/>
      <w:pPr>
        <w:ind w:left="2160" w:hanging="360"/>
      </w:pPr>
      <w:rPr>
        <w:rFonts w:ascii="Wingdings" w:hAnsi="Wingdings" w:hint="default"/>
      </w:rPr>
    </w:lvl>
    <w:lvl w:ilvl="3" w:tplc="9A564D9A">
      <w:start w:val="1"/>
      <w:numFmt w:val="bullet"/>
      <w:lvlText w:val=""/>
      <w:lvlJc w:val="left"/>
      <w:pPr>
        <w:ind w:left="2880" w:hanging="360"/>
      </w:pPr>
      <w:rPr>
        <w:rFonts w:ascii="Symbol" w:hAnsi="Symbol" w:hint="default"/>
      </w:rPr>
    </w:lvl>
    <w:lvl w:ilvl="4" w:tplc="A6EE8100">
      <w:start w:val="1"/>
      <w:numFmt w:val="bullet"/>
      <w:lvlText w:val="o"/>
      <w:lvlJc w:val="left"/>
      <w:pPr>
        <w:ind w:left="3600" w:hanging="360"/>
      </w:pPr>
      <w:rPr>
        <w:rFonts w:ascii="Courier New" w:hAnsi="Courier New" w:hint="default"/>
      </w:rPr>
    </w:lvl>
    <w:lvl w:ilvl="5" w:tplc="58C6244A">
      <w:start w:val="1"/>
      <w:numFmt w:val="bullet"/>
      <w:lvlText w:val=""/>
      <w:lvlJc w:val="left"/>
      <w:pPr>
        <w:ind w:left="4320" w:hanging="360"/>
      </w:pPr>
      <w:rPr>
        <w:rFonts w:ascii="Wingdings" w:hAnsi="Wingdings" w:hint="default"/>
      </w:rPr>
    </w:lvl>
    <w:lvl w:ilvl="6" w:tplc="75664882">
      <w:start w:val="1"/>
      <w:numFmt w:val="bullet"/>
      <w:lvlText w:val=""/>
      <w:lvlJc w:val="left"/>
      <w:pPr>
        <w:ind w:left="5040" w:hanging="360"/>
      </w:pPr>
      <w:rPr>
        <w:rFonts w:ascii="Symbol" w:hAnsi="Symbol" w:hint="default"/>
      </w:rPr>
    </w:lvl>
    <w:lvl w:ilvl="7" w:tplc="FC921666">
      <w:start w:val="1"/>
      <w:numFmt w:val="bullet"/>
      <w:lvlText w:val="o"/>
      <w:lvlJc w:val="left"/>
      <w:pPr>
        <w:ind w:left="5760" w:hanging="360"/>
      </w:pPr>
      <w:rPr>
        <w:rFonts w:ascii="Courier New" w:hAnsi="Courier New" w:hint="default"/>
      </w:rPr>
    </w:lvl>
    <w:lvl w:ilvl="8" w:tplc="9490F628">
      <w:start w:val="1"/>
      <w:numFmt w:val="bullet"/>
      <w:lvlText w:val=""/>
      <w:lvlJc w:val="left"/>
      <w:pPr>
        <w:ind w:left="6480" w:hanging="360"/>
      </w:pPr>
      <w:rPr>
        <w:rFonts w:ascii="Wingdings" w:hAnsi="Wingdings" w:hint="default"/>
      </w:rPr>
    </w:lvl>
  </w:abstractNum>
  <w:abstractNum w:abstractNumId="6" w15:restartNumberingAfterBreak="0">
    <w:nsid w:val="773B6DEF"/>
    <w:multiLevelType w:val="hybridMultilevel"/>
    <w:tmpl w:val="5F40895A"/>
    <w:lvl w:ilvl="0" w:tplc="B440AF3E">
      <w:start w:val="1"/>
      <w:numFmt w:val="decimal"/>
      <w:lvlText w:val="%1."/>
      <w:lvlJc w:val="left"/>
      <w:pPr>
        <w:ind w:left="720" w:hanging="360"/>
      </w:pPr>
    </w:lvl>
    <w:lvl w:ilvl="1" w:tplc="58FC0D94">
      <w:start w:val="1"/>
      <w:numFmt w:val="lowerLetter"/>
      <w:lvlText w:val="%2."/>
      <w:lvlJc w:val="left"/>
      <w:pPr>
        <w:ind w:left="1440" w:hanging="360"/>
      </w:pPr>
    </w:lvl>
    <w:lvl w:ilvl="2" w:tplc="2DFC7C6A">
      <w:start w:val="1"/>
      <w:numFmt w:val="lowerRoman"/>
      <w:lvlText w:val="%3."/>
      <w:lvlJc w:val="right"/>
      <w:pPr>
        <w:ind w:left="2160" w:hanging="180"/>
      </w:pPr>
    </w:lvl>
    <w:lvl w:ilvl="3" w:tplc="8F6E1B1E">
      <w:start w:val="1"/>
      <w:numFmt w:val="decimal"/>
      <w:lvlText w:val="%4."/>
      <w:lvlJc w:val="left"/>
      <w:pPr>
        <w:ind w:left="2880" w:hanging="360"/>
      </w:pPr>
    </w:lvl>
    <w:lvl w:ilvl="4" w:tplc="AE0CA3FE">
      <w:start w:val="1"/>
      <w:numFmt w:val="lowerLetter"/>
      <w:lvlText w:val="%5."/>
      <w:lvlJc w:val="left"/>
      <w:pPr>
        <w:ind w:left="3600" w:hanging="360"/>
      </w:pPr>
    </w:lvl>
    <w:lvl w:ilvl="5" w:tplc="B7D4F866">
      <w:start w:val="1"/>
      <w:numFmt w:val="lowerRoman"/>
      <w:lvlText w:val="%6."/>
      <w:lvlJc w:val="right"/>
      <w:pPr>
        <w:ind w:left="4320" w:hanging="180"/>
      </w:pPr>
    </w:lvl>
    <w:lvl w:ilvl="6" w:tplc="03564218">
      <w:start w:val="1"/>
      <w:numFmt w:val="decimal"/>
      <w:lvlText w:val="%7."/>
      <w:lvlJc w:val="left"/>
      <w:pPr>
        <w:ind w:left="5040" w:hanging="360"/>
      </w:pPr>
    </w:lvl>
    <w:lvl w:ilvl="7" w:tplc="00EEFE6C">
      <w:start w:val="1"/>
      <w:numFmt w:val="lowerLetter"/>
      <w:lvlText w:val="%8."/>
      <w:lvlJc w:val="left"/>
      <w:pPr>
        <w:ind w:left="5760" w:hanging="360"/>
      </w:pPr>
    </w:lvl>
    <w:lvl w:ilvl="8" w:tplc="FC760366">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37626D"/>
    <w:rsid w:val="003C5B64"/>
    <w:rsid w:val="003D3726"/>
    <w:rsid w:val="003E783E"/>
    <w:rsid w:val="0040534A"/>
    <w:rsid w:val="00407B45"/>
    <w:rsid w:val="00467785"/>
    <w:rsid w:val="004700D0"/>
    <w:rsid w:val="0048719E"/>
    <w:rsid w:val="00512AFD"/>
    <w:rsid w:val="0056023D"/>
    <w:rsid w:val="00590C53"/>
    <w:rsid w:val="005D48A8"/>
    <w:rsid w:val="00615419"/>
    <w:rsid w:val="00670F80"/>
    <w:rsid w:val="0068288F"/>
    <w:rsid w:val="00702045"/>
    <w:rsid w:val="00743904"/>
    <w:rsid w:val="00784669"/>
    <w:rsid w:val="007A2EB7"/>
    <w:rsid w:val="008221B5"/>
    <w:rsid w:val="00842404"/>
    <w:rsid w:val="00971601"/>
    <w:rsid w:val="009950C8"/>
    <w:rsid w:val="009E4448"/>
    <w:rsid w:val="009E7400"/>
    <w:rsid w:val="00AA3EAB"/>
    <w:rsid w:val="00B06B93"/>
    <w:rsid w:val="00B11562"/>
    <w:rsid w:val="00BB2E64"/>
    <w:rsid w:val="00BE0EA1"/>
    <w:rsid w:val="00CF4F14"/>
    <w:rsid w:val="00D70E88"/>
    <w:rsid w:val="00DA366C"/>
    <w:rsid w:val="00DB36A5"/>
    <w:rsid w:val="00DF4272"/>
    <w:rsid w:val="00E30E5B"/>
    <w:rsid w:val="00E908A9"/>
    <w:rsid w:val="00EE5E41"/>
    <w:rsid w:val="00F03A0C"/>
    <w:rsid w:val="00F06482"/>
    <w:rsid w:val="00F2459D"/>
    <w:rsid w:val="00FD4B9D"/>
    <w:rsid w:val="013CCF55"/>
    <w:rsid w:val="01A9EC5B"/>
    <w:rsid w:val="024B61D7"/>
    <w:rsid w:val="02768E59"/>
    <w:rsid w:val="02D60F05"/>
    <w:rsid w:val="064C585A"/>
    <w:rsid w:val="0669BA2F"/>
    <w:rsid w:val="071ED2FA"/>
    <w:rsid w:val="078C02A8"/>
    <w:rsid w:val="0C10F08D"/>
    <w:rsid w:val="0CD8FBB3"/>
    <w:rsid w:val="10109C75"/>
    <w:rsid w:val="12F42055"/>
    <w:rsid w:val="13483D37"/>
    <w:rsid w:val="14298038"/>
    <w:rsid w:val="14CAB365"/>
    <w:rsid w:val="16284A72"/>
    <w:rsid w:val="1723260A"/>
    <w:rsid w:val="176120FA"/>
    <w:rsid w:val="183ABDDC"/>
    <w:rsid w:val="19AB61BB"/>
    <w:rsid w:val="19D68E3D"/>
    <w:rsid w:val="1A98C1BC"/>
    <w:rsid w:val="1E36D2FC"/>
    <w:rsid w:val="1E7ED2DE"/>
    <w:rsid w:val="20394FAF"/>
    <w:rsid w:val="203CE717"/>
    <w:rsid w:val="20F5F388"/>
    <w:rsid w:val="23CB7855"/>
    <w:rsid w:val="28D17835"/>
    <w:rsid w:val="29329676"/>
    <w:rsid w:val="2963990A"/>
    <w:rsid w:val="2D26E414"/>
    <w:rsid w:val="2DDFDDDD"/>
    <w:rsid w:val="2E060799"/>
    <w:rsid w:val="2E516DA7"/>
    <w:rsid w:val="2F7BAE3E"/>
    <w:rsid w:val="30179EAC"/>
    <w:rsid w:val="330BB66D"/>
    <w:rsid w:val="33940487"/>
    <w:rsid w:val="35DED2C2"/>
    <w:rsid w:val="363328F0"/>
    <w:rsid w:val="36D6EBD3"/>
    <w:rsid w:val="3855F36C"/>
    <w:rsid w:val="396BA028"/>
    <w:rsid w:val="3A8BDE55"/>
    <w:rsid w:val="3B5A9051"/>
    <w:rsid w:val="3BC5A664"/>
    <w:rsid w:val="3D6176C5"/>
    <w:rsid w:val="3DF68D8C"/>
    <w:rsid w:val="401BBE51"/>
    <w:rsid w:val="40595F32"/>
    <w:rsid w:val="42F06FD2"/>
    <w:rsid w:val="43A40D60"/>
    <w:rsid w:val="448C4033"/>
    <w:rsid w:val="4A0731E4"/>
    <w:rsid w:val="4B5B0263"/>
    <w:rsid w:val="4B99AAF6"/>
    <w:rsid w:val="4EA98E65"/>
    <w:rsid w:val="4EEEAD8D"/>
    <w:rsid w:val="51FD7EB2"/>
    <w:rsid w:val="5325A648"/>
    <w:rsid w:val="53CCC09A"/>
    <w:rsid w:val="554B6F1F"/>
    <w:rsid w:val="55BCE243"/>
    <w:rsid w:val="561D8EB5"/>
    <w:rsid w:val="563DF6F5"/>
    <w:rsid w:val="58A031BD"/>
    <w:rsid w:val="5C87CD73"/>
    <w:rsid w:val="5CC60761"/>
    <w:rsid w:val="607AC678"/>
    <w:rsid w:val="6087795B"/>
    <w:rsid w:val="60BE6739"/>
    <w:rsid w:val="61041246"/>
    <w:rsid w:val="63117B74"/>
    <w:rsid w:val="652CE54A"/>
    <w:rsid w:val="668EF919"/>
    <w:rsid w:val="6A15016E"/>
    <w:rsid w:val="6EADAFE2"/>
    <w:rsid w:val="6ECF5C42"/>
    <w:rsid w:val="6FDC3584"/>
    <w:rsid w:val="6FF7928D"/>
    <w:rsid w:val="717805E5"/>
    <w:rsid w:val="719362EE"/>
    <w:rsid w:val="7313D646"/>
    <w:rsid w:val="73C920E7"/>
    <w:rsid w:val="73D0788A"/>
    <w:rsid w:val="7474E3F8"/>
    <w:rsid w:val="74AFD87D"/>
    <w:rsid w:val="7564F148"/>
    <w:rsid w:val="764BA8DE"/>
    <w:rsid w:val="76F03C85"/>
    <w:rsid w:val="78E1E49D"/>
    <w:rsid w:val="7A570EDB"/>
    <w:rsid w:val="7AE0AED7"/>
    <w:rsid w:val="7BFF21E5"/>
    <w:rsid w:val="7CC98053"/>
    <w:rsid w:val="7D5E3273"/>
    <w:rsid w:val="7E7CE47F"/>
    <w:rsid w:val="7EC8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about-us/mission-and-values.html" TargetMode="External"/><Relationship Id="rId13" Type="http://schemas.openxmlformats.org/officeDocument/2006/relationships/hyperlink" Target="https://www.calpassplus.org/LaunchBoard/Home.aspx" TargetMode="External"/><Relationship Id="rId18" Type="http://schemas.openxmlformats.org/officeDocument/2006/relationships/hyperlink" Target="https://www.deanza.edu/ir/program-review.20-21/index.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eanza.edu/sssp-se-bsi/documents/DAC_Student_Equity_Plan_2019-22_Final.pdf" TargetMode="External"/><Relationship Id="rId7" Type="http://schemas.openxmlformats.org/officeDocument/2006/relationships/endnotes" Target="endnotes.xml"/><Relationship Id="rId12" Type="http://schemas.openxmlformats.org/officeDocument/2006/relationships/hyperlink" Target="https://www.deanza.edu/ir/AwardsbyDivision.html" TargetMode="External"/><Relationship Id="rId17" Type="http://schemas.openxmlformats.org/officeDocument/2006/relationships/hyperlink" Target="https://www.deanza.edu/ir/program-review.20-21/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RGuide_Printing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nza.edu/ir/AwardsbyDivision.html" TargetMode="External"/><Relationship Id="rId24" Type="http://schemas.openxmlformats.org/officeDocument/2006/relationships/hyperlink" Target="https://www.deanza.edu/slo/"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deanza.edu/ir/state-of-the-college-related-information/documents/EMP2015-2020_3-11-16.pdf" TargetMode="External"/><Relationship Id="rId28" Type="http://schemas.openxmlformats.org/officeDocument/2006/relationships/theme" Target="theme/theme1.xml"/><Relationship Id="rId10" Type="http://schemas.openxmlformats.org/officeDocument/2006/relationships/hyperlink" Target="https://www.deanza.edu/ir/AwardsbyDivision.html" TargetMode="External"/><Relationship Id="rId19" Type="http://schemas.openxmlformats.org/officeDocument/2006/relationships/hyperlink" Target="https://www.deanza.edu/ir/program-review.18-19/Access_DI_too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labormarketinfo.edd.ca.gov/cgi/dataanalysis/areaselection.asp?tablename=occprj" TargetMode="External"/><Relationship Id="rId22" Type="http://schemas.openxmlformats.org/officeDocument/2006/relationships/hyperlink" Target="http://deanza.edu/ir/planning/planning_files/InstitutionalMetrics_2019_4.29.1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F85D-568F-C34A-BED7-3C65807F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3209</Words>
  <Characters>18294</Characters>
  <Application>Microsoft Office Word</Application>
  <DocSecurity>0</DocSecurity>
  <Lines>152</Lines>
  <Paragraphs>42</Paragraphs>
  <ScaleCrop>false</ScaleCrop>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2022-06-02T21:23:00Z</dcterms:created>
  <dcterms:modified xsi:type="dcterms:W3CDTF">2022-06-02T21:23:00Z</dcterms:modified>
</cp:coreProperties>
</file>