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18EC" w:rsidRPr="00D118EC" w:rsidRDefault="008E5447" w:rsidP="008E5447">
      <w:pPr>
        <w:jc w:val="center"/>
      </w:pPr>
      <w:bookmarkStart w:id="0" w:name="_GoBack"/>
      <w:bookmarkEnd w:id="0"/>
      <w:r w:rsidRPr="008E5447">
        <w:rPr>
          <w:b/>
        </w:rPr>
        <w:t>State of the Valley Highlights</w:t>
      </w:r>
      <w:r w:rsidR="005951E0">
        <w:rPr>
          <w:b/>
        </w:rPr>
        <w:t xml:space="preserve"> – February 2018</w:t>
      </w:r>
      <w:r w:rsidR="0052397D">
        <w:rPr>
          <w:b/>
        </w:rPr>
        <w:br/>
      </w:r>
      <w:hyperlink r:id="rId6" w:history="1">
        <w:r w:rsidR="00D118EC" w:rsidRPr="00D118EC">
          <w:rPr>
            <w:rStyle w:val="Hyperlink"/>
          </w:rPr>
          <w:t>https://jointventure.org/publications/silicon-valley-index</w:t>
        </w:r>
      </w:hyperlink>
      <w:r w:rsidR="00D118EC" w:rsidRPr="00D118EC">
        <w:t xml:space="preserve"> </w:t>
      </w:r>
    </w:p>
    <w:p w:rsidR="008E5447" w:rsidRDefault="008E5447" w:rsidP="008E5447">
      <w:pPr>
        <w:spacing w:after="0" w:line="240" w:lineRule="auto"/>
        <w:rPr>
          <w:rFonts w:ascii="Calibri" w:eastAsia="Times New Roman" w:hAnsi="Calibri" w:cs="Times New Roman"/>
          <w:b/>
          <w:bCs/>
          <w:u w:val="single"/>
        </w:rPr>
      </w:pPr>
    </w:p>
    <w:p w:rsidR="008E5447" w:rsidRDefault="008E5447" w:rsidP="008E5447">
      <w:pPr>
        <w:spacing w:after="0" w:line="240" w:lineRule="auto"/>
        <w:rPr>
          <w:rFonts w:ascii="Calibri" w:eastAsia="Times New Roman" w:hAnsi="Calibri" w:cs="Times New Roman"/>
          <w:bCs/>
        </w:rPr>
      </w:pPr>
      <w:r>
        <w:rPr>
          <w:rFonts w:ascii="Calibri" w:eastAsia="Times New Roman" w:hAnsi="Calibri" w:cs="Times New Roman"/>
          <w:b/>
          <w:bCs/>
          <w:u w:val="single"/>
        </w:rPr>
        <w:t>People</w:t>
      </w:r>
      <w:r>
        <w:rPr>
          <w:rFonts w:ascii="Calibri" w:eastAsia="Times New Roman" w:hAnsi="Calibri" w:cs="Times New Roman"/>
          <w:b/>
          <w:bCs/>
          <w:u w:val="single"/>
        </w:rPr>
        <w:br/>
      </w:r>
      <w:r w:rsidRPr="008E5447">
        <w:rPr>
          <w:rFonts w:ascii="Calibri" w:eastAsia="Times New Roman" w:hAnsi="Calibri" w:cs="Times New Roman"/>
          <w:bCs/>
        </w:rPr>
        <w:t xml:space="preserve">17 and under decreased -0.2% </w:t>
      </w:r>
      <w:r w:rsidR="0052397D">
        <w:rPr>
          <w:rFonts w:ascii="Calibri" w:eastAsia="Times New Roman" w:hAnsi="Calibri" w:cs="Times New Roman"/>
          <w:bCs/>
        </w:rPr>
        <w:br/>
      </w:r>
      <w:r w:rsidRPr="008E5447">
        <w:rPr>
          <w:rFonts w:ascii="Calibri" w:eastAsia="Times New Roman" w:hAnsi="Calibri" w:cs="Times New Roman"/>
          <w:bCs/>
        </w:rPr>
        <w:t>18-24 decreased-1.5%</w:t>
      </w:r>
    </w:p>
    <w:p w:rsidR="008E5447" w:rsidRDefault="008E5447" w:rsidP="008E5447">
      <w:pPr>
        <w:spacing w:after="0" w:line="240" w:lineRule="auto"/>
        <w:rPr>
          <w:rFonts w:ascii="Calibri" w:eastAsia="Times New Roman" w:hAnsi="Calibri" w:cs="Times New Roman"/>
          <w:bCs/>
        </w:rPr>
      </w:pPr>
      <w:r>
        <w:rPr>
          <w:rFonts w:ascii="Calibri" w:eastAsia="Times New Roman" w:hAnsi="Calibri" w:cs="Times New Roman"/>
          <w:bCs/>
        </w:rPr>
        <w:t>65 and older increased +1.5%</w:t>
      </w:r>
    </w:p>
    <w:p w:rsidR="001E6B2E" w:rsidRDefault="001E6B2E" w:rsidP="008E5447">
      <w:pPr>
        <w:spacing w:after="0" w:line="240" w:lineRule="auto"/>
        <w:rPr>
          <w:rFonts w:ascii="Calibri" w:eastAsia="Times New Roman" w:hAnsi="Calibri" w:cs="Times New Roman"/>
          <w:bCs/>
        </w:rPr>
      </w:pPr>
    </w:p>
    <w:p w:rsidR="001E6B2E" w:rsidRPr="001E6B2E" w:rsidRDefault="001E6B2E" w:rsidP="008E5447">
      <w:pPr>
        <w:spacing w:after="0" w:line="240" w:lineRule="auto"/>
        <w:rPr>
          <w:rFonts w:ascii="Calibri" w:eastAsia="Times New Roman" w:hAnsi="Calibri" w:cs="Times New Roman"/>
          <w:b/>
          <w:bCs/>
          <w:u w:val="single"/>
        </w:rPr>
      </w:pPr>
      <w:r w:rsidRPr="001E6B2E">
        <w:rPr>
          <w:rFonts w:ascii="Calibri" w:eastAsia="Times New Roman" w:hAnsi="Calibri" w:cs="Times New Roman"/>
          <w:b/>
          <w:bCs/>
          <w:u w:val="single"/>
        </w:rPr>
        <w:t>Birth Rates</w:t>
      </w:r>
    </w:p>
    <w:p w:rsidR="001E6B2E" w:rsidRPr="008E5447" w:rsidRDefault="001E6B2E" w:rsidP="008E5447">
      <w:pPr>
        <w:spacing w:after="0" w:line="240" w:lineRule="auto"/>
        <w:rPr>
          <w:rFonts w:ascii="Calibri" w:eastAsia="Times New Roman" w:hAnsi="Calibri" w:cs="Times New Roman"/>
          <w:bCs/>
        </w:rPr>
      </w:pPr>
      <w:r>
        <w:rPr>
          <w:rFonts w:ascii="Calibri" w:eastAsia="Times New Roman" w:hAnsi="Calibri" w:cs="Times New Roman"/>
          <w:bCs/>
        </w:rPr>
        <w:t xml:space="preserve">Prior to 18 years ago, birth rates were increasing slightly in the valley and peaked exactly 18 years ago, birth rates have continued a consistent decrease up through 2017.  </w:t>
      </w:r>
    </w:p>
    <w:p w:rsidR="008E5447" w:rsidRDefault="008E5447" w:rsidP="008E5447">
      <w:pPr>
        <w:spacing w:after="0" w:line="240" w:lineRule="auto"/>
        <w:rPr>
          <w:rFonts w:ascii="Calibri" w:eastAsia="Times New Roman" w:hAnsi="Calibri" w:cs="Times New Roman"/>
          <w:b/>
          <w:bCs/>
          <w:u w:val="single"/>
        </w:rPr>
      </w:pPr>
    </w:p>
    <w:p w:rsidR="008E5447" w:rsidRDefault="001E6B2E" w:rsidP="008E5447">
      <w:pPr>
        <w:spacing w:after="0" w:line="240" w:lineRule="auto"/>
        <w:rPr>
          <w:rFonts w:ascii="Calibri" w:eastAsia="Times New Roman" w:hAnsi="Calibri" w:cs="Times New Roman"/>
          <w:b/>
          <w:bCs/>
          <w:u w:val="single"/>
        </w:rPr>
      </w:pPr>
      <w:r>
        <w:rPr>
          <w:rFonts w:ascii="Calibri" w:eastAsia="Times New Roman" w:hAnsi="Calibri" w:cs="Times New Roman"/>
          <w:b/>
          <w:bCs/>
          <w:u w:val="single"/>
        </w:rPr>
        <w:t>Employment in the Valley – 2001 through 2017</w:t>
      </w:r>
    </w:p>
    <w:p w:rsidR="0052397D" w:rsidRPr="0052397D" w:rsidRDefault="0052397D" w:rsidP="0052397D">
      <w:pPr>
        <w:spacing w:after="0" w:line="240" w:lineRule="auto"/>
        <w:rPr>
          <w:rFonts w:ascii="Calibri" w:eastAsia="Times New Roman" w:hAnsi="Calibri" w:cs="Times New Roman"/>
          <w:bCs/>
        </w:rPr>
      </w:pPr>
      <w:r w:rsidRPr="0052397D">
        <w:rPr>
          <w:rFonts w:ascii="Calibri" w:eastAsia="Times New Roman" w:hAnsi="Calibri" w:cs="Times New Roman"/>
          <w:bCs/>
        </w:rPr>
        <w:t xml:space="preserve">Science and engineering jobs make up a huge chunk of total employment, with 54% in Computer and Physical Engineering, 31% in Design, 7% in Bio-Tech. </w:t>
      </w:r>
    </w:p>
    <w:p w:rsidR="0052397D" w:rsidRDefault="0052397D" w:rsidP="008E5447">
      <w:pPr>
        <w:spacing w:after="0" w:line="240" w:lineRule="auto"/>
        <w:rPr>
          <w:rFonts w:ascii="Calibri" w:eastAsia="Times New Roman" w:hAnsi="Calibri" w:cs="Times New Roman"/>
          <w:b/>
          <w:bCs/>
          <w:u w:val="single"/>
        </w:rPr>
      </w:pPr>
    </w:p>
    <w:p w:rsidR="001E6B2E" w:rsidRDefault="001E6B2E" w:rsidP="008E5447">
      <w:pPr>
        <w:spacing w:after="0" w:line="240" w:lineRule="auto"/>
      </w:pPr>
      <w:r>
        <w:t>Tier 1 = 25% of total Employment (26% for SF area)</w:t>
      </w:r>
      <w:r>
        <w:br/>
        <w:t>Occupations include managers (Chief Executives, Financial Managers, and Sales Managers), professional positions (Lawyers, Accountants, and Physicians) and highly-skilled technical occupations, such as Scientists, Computer Programmers, and Engineers, and are typically the highest-paying, highest-skilled occupations in the economy. In 2017, average earnings (assuming a 40 hour work week for the entire year) were $56.88 per hour or approximately $118,310 per year for Tier 1 occupations.</w:t>
      </w:r>
    </w:p>
    <w:p w:rsidR="001E6B2E" w:rsidRDefault="001E6B2E" w:rsidP="008E5447">
      <w:pPr>
        <w:spacing w:after="0" w:line="240" w:lineRule="auto"/>
      </w:pPr>
    </w:p>
    <w:p w:rsidR="001E6B2E" w:rsidRDefault="001E6B2E" w:rsidP="008E5447">
      <w:pPr>
        <w:spacing w:after="0" w:line="240" w:lineRule="auto"/>
      </w:pPr>
      <w:r>
        <w:t>Tier 2 = 43% of total employment (38% for SF area)</w:t>
      </w:r>
    </w:p>
    <w:p w:rsidR="001E6B2E" w:rsidRDefault="001E6B2E" w:rsidP="008E5447">
      <w:pPr>
        <w:spacing w:after="0" w:line="240" w:lineRule="auto"/>
      </w:pPr>
      <w:r>
        <w:t>Tier 2 Occupations include sales positions (Sales Representatives), teachers, and librarians, office and administrative positions (Accounting Clerks and Secretaries), and manufacturing, operations, and production positions (Assemblers, Electricians, and Machinists). They have historically provided the majority of employment opportunities and may be referred to as middle-wage, middle-skill positions. Earnings were $26.07 per hour or approximately $54,226 per year for Tier 2 occupations.</w:t>
      </w:r>
    </w:p>
    <w:p w:rsidR="001E6B2E" w:rsidRDefault="001E6B2E" w:rsidP="008E5447">
      <w:pPr>
        <w:spacing w:after="0" w:line="240" w:lineRule="auto"/>
      </w:pPr>
    </w:p>
    <w:p w:rsidR="001E6B2E" w:rsidRDefault="001E6B2E" w:rsidP="008E5447">
      <w:pPr>
        <w:spacing w:after="0" w:line="240" w:lineRule="auto"/>
      </w:pPr>
      <w:r>
        <w:t>Tier 3 = 32% of total employment (36% for SF area)</w:t>
      </w:r>
    </w:p>
    <w:p w:rsidR="001E6B2E" w:rsidRDefault="001E6B2E" w:rsidP="008E5447">
      <w:pPr>
        <w:spacing w:after="0" w:line="240" w:lineRule="auto"/>
        <w:rPr>
          <w:rFonts w:ascii="Calibri" w:eastAsia="Times New Roman" w:hAnsi="Calibri" w:cs="Times New Roman"/>
          <w:b/>
          <w:bCs/>
          <w:u w:val="single"/>
        </w:rPr>
      </w:pPr>
      <w:r>
        <w:t>Tier 3 Occupations include protective services (Security Guards), food service and retail positions (Waiters, Cooks, and Cashiers), building and grounds cleaning positions (Janitors), and personal care positions (Home Health Aides and Child Care Workers). These occupations typically represent lower-skilled service positions with lower wages that require little formal training and/or education. Earnings were $13.18 per hour or approximately $27,414 per year for Tier 3 occupations.</w:t>
      </w:r>
    </w:p>
    <w:p w:rsidR="001E6B2E" w:rsidRDefault="001E6B2E" w:rsidP="008E5447">
      <w:pPr>
        <w:spacing w:after="0" w:line="240" w:lineRule="auto"/>
        <w:rPr>
          <w:rFonts w:ascii="Calibri" w:eastAsia="Times New Roman" w:hAnsi="Calibri" w:cs="Times New Roman"/>
          <w:b/>
          <w:bCs/>
          <w:u w:val="single"/>
        </w:rPr>
      </w:pPr>
    </w:p>
    <w:p w:rsidR="0052397D" w:rsidRDefault="0052397D" w:rsidP="008E5447">
      <w:pPr>
        <w:spacing w:after="0" w:line="240" w:lineRule="auto"/>
        <w:rPr>
          <w:rFonts w:ascii="Calibri" w:eastAsia="Times New Roman" w:hAnsi="Calibri" w:cs="Times New Roman"/>
          <w:b/>
          <w:bCs/>
          <w:u w:val="single"/>
        </w:rPr>
      </w:pPr>
      <w:r>
        <w:rPr>
          <w:rFonts w:ascii="Calibri" w:eastAsia="Times New Roman" w:hAnsi="Calibri" w:cs="Times New Roman"/>
          <w:b/>
          <w:bCs/>
          <w:u w:val="single"/>
        </w:rPr>
        <w:t>Unemployment</w:t>
      </w:r>
    </w:p>
    <w:p w:rsidR="0052397D" w:rsidRPr="0052397D" w:rsidRDefault="0052397D" w:rsidP="008E5447">
      <w:pPr>
        <w:spacing w:after="0" w:line="240" w:lineRule="auto"/>
        <w:rPr>
          <w:rFonts w:ascii="Calibri" w:eastAsia="Times New Roman" w:hAnsi="Calibri" w:cs="Times New Roman"/>
          <w:bCs/>
        </w:rPr>
      </w:pPr>
      <w:r w:rsidRPr="0052397D">
        <w:rPr>
          <w:rFonts w:ascii="Calibri" w:eastAsia="Times New Roman" w:hAnsi="Calibri" w:cs="Times New Roman"/>
          <w:bCs/>
        </w:rPr>
        <w:t>Down to 3% in the Valley</w:t>
      </w:r>
      <w:r>
        <w:rPr>
          <w:rFonts w:ascii="Calibri" w:eastAsia="Times New Roman" w:hAnsi="Calibri" w:cs="Times New Roman"/>
          <w:bCs/>
        </w:rPr>
        <w:t xml:space="preserve"> – Latino/a and African Americans continue to make up the largest groups that are unemployed in the Valley.</w:t>
      </w:r>
    </w:p>
    <w:p w:rsidR="0052397D" w:rsidRDefault="0052397D" w:rsidP="008E5447">
      <w:pPr>
        <w:spacing w:after="0" w:line="240" w:lineRule="auto"/>
        <w:rPr>
          <w:rFonts w:ascii="Calibri" w:eastAsia="Times New Roman" w:hAnsi="Calibri" w:cs="Times New Roman"/>
          <w:b/>
          <w:bCs/>
          <w:u w:val="single"/>
        </w:rPr>
      </w:pPr>
    </w:p>
    <w:p w:rsidR="00CD661D" w:rsidRDefault="00CD661D" w:rsidP="008E5447">
      <w:pPr>
        <w:spacing w:after="0" w:line="240" w:lineRule="auto"/>
        <w:rPr>
          <w:rFonts w:ascii="Calibri" w:eastAsia="Times New Roman" w:hAnsi="Calibri" w:cs="Times New Roman"/>
          <w:b/>
          <w:bCs/>
          <w:u w:val="single"/>
        </w:rPr>
      </w:pPr>
      <w:r>
        <w:rPr>
          <w:rFonts w:ascii="Calibri" w:eastAsia="Times New Roman" w:hAnsi="Calibri" w:cs="Times New Roman"/>
          <w:b/>
          <w:bCs/>
          <w:u w:val="single"/>
        </w:rPr>
        <w:t>Job Growth</w:t>
      </w:r>
    </w:p>
    <w:p w:rsidR="00CD661D" w:rsidRDefault="00CD661D" w:rsidP="008E5447">
      <w:pPr>
        <w:spacing w:after="0" w:line="240" w:lineRule="auto"/>
        <w:rPr>
          <w:rFonts w:ascii="Calibri" w:eastAsia="Times New Roman" w:hAnsi="Calibri" w:cs="Times New Roman"/>
          <w:bCs/>
        </w:rPr>
      </w:pPr>
      <w:r w:rsidRPr="00CD661D">
        <w:rPr>
          <w:rFonts w:ascii="Calibri" w:eastAsia="Times New Roman" w:hAnsi="Calibri" w:cs="Times New Roman"/>
          <w:bCs/>
        </w:rPr>
        <w:t>Conti</w:t>
      </w:r>
      <w:r w:rsidR="0052397D">
        <w:rPr>
          <w:rFonts w:ascii="Calibri" w:eastAsia="Times New Roman" w:hAnsi="Calibri" w:cs="Times New Roman"/>
          <w:bCs/>
        </w:rPr>
        <w:t>nues to increase over the past 7</w:t>
      </w:r>
      <w:r w:rsidRPr="00CD661D">
        <w:rPr>
          <w:rFonts w:ascii="Calibri" w:eastAsia="Times New Roman" w:hAnsi="Calibri" w:cs="Times New Roman"/>
          <w:bCs/>
        </w:rPr>
        <w:t xml:space="preserve"> years </w:t>
      </w:r>
      <w:r w:rsidR="0052397D">
        <w:rPr>
          <w:rFonts w:ascii="Calibri" w:eastAsia="Times New Roman" w:hAnsi="Calibri" w:cs="Times New Roman"/>
          <w:bCs/>
        </w:rPr>
        <w:t>(+27%)</w:t>
      </w:r>
      <w:r>
        <w:rPr>
          <w:rFonts w:ascii="Calibri" w:eastAsia="Times New Roman" w:hAnsi="Calibri" w:cs="Times New Roman"/>
          <w:bCs/>
        </w:rPr>
        <w:t>. Greatest areas of growth</w:t>
      </w:r>
      <w:r w:rsidR="005D534F">
        <w:rPr>
          <w:rFonts w:ascii="Calibri" w:eastAsia="Times New Roman" w:hAnsi="Calibri" w:cs="Times New Roman"/>
          <w:bCs/>
        </w:rPr>
        <w:t xml:space="preserve"> are</w:t>
      </w:r>
      <w:r>
        <w:rPr>
          <w:rFonts w:ascii="Calibri" w:eastAsia="Times New Roman" w:hAnsi="Calibri" w:cs="Times New Roman"/>
          <w:bCs/>
        </w:rPr>
        <w:t xml:space="preserve">: </w:t>
      </w:r>
    </w:p>
    <w:p w:rsidR="00CD661D" w:rsidRDefault="00CD661D" w:rsidP="008E5447">
      <w:pPr>
        <w:spacing w:after="0" w:line="240" w:lineRule="auto"/>
        <w:rPr>
          <w:rFonts w:ascii="Calibri" w:eastAsia="Times New Roman" w:hAnsi="Calibri" w:cs="Times New Roman"/>
          <w:bCs/>
        </w:rPr>
      </w:pPr>
    </w:p>
    <w:p w:rsidR="00CD661D" w:rsidRDefault="00CD661D" w:rsidP="008E5447">
      <w:pPr>
        <w:spacing w:after="0" w:line="240" w:lineRule="auto"/>
        <w:rPr>
          <w:rFonts w:ascii="Calibri" w:eastAsia="Times New Roman" w:hAnsi="Calibri" w:cs="Times New Roman"/>
          <w:bCs/>
        </w:rPr>
      </w:pPr>
      <w:r w:rsidRPr="00CD661D">
        <w:rPr>
          <w:rFonts w:ascii="Calibri" w:eastAsia="Times New Roman" w:hAnsi="Calibri" w:cs="Times New Roman"/>
          <w:b/>
          <w:bCs/>
        </w:rPr>
        <w:t>Innovation and Information Products and Services</w:t>
      </w:r>
      <w:r>
        <w:rPr>
          <w:rFonts w:ascii="Calibri" w:eastAsia="Times New Roman" w:hAnsi="Calibri" w:cs="Times New Roman"/>
          <w:bCs/>
        </w:rPr>
        <w:t xml:space="preserve"> </w:t>
      </w:r>
      <w:r w:rsidRPr="00CD661D">
        <w:rPr>
          <w:rFonts w:ascii="Calibri" w:eastAsia="Times New Roman" w:hAnsi="Calibri" w:cs="Times New Roman"/>
          <w:b/>
          <w:bCs/>
        </w:rPr>
        <w:t>(+35%)</w:t>
      </w:r>
      <w:r>
        <w:rPr>
          <w:rFonts w:ascii="Calibri" w:eastAsia="Times New Roman" w:hAnsi="Calibri" w:cs="Times New Roman"/>
          <w:bCs/>
        </w:rPr>
        <w:t xml:space="preserve"> = </w:t>
      </w:r>
      <w:r>
        <w:t xml:space="preserve">Computer Hardware Design &amp; Manufacturing; Semiconductors &amp; related Equipment Manufacturing; Internet &amp; Information Services; Technical Research &amp; Development (Include Life Sciences); Software; Telecommunications </w:t>
      </w:r>
      <w:r>
        <w:lastRenderedPageBreak/>
        <w:t xml:space="preserve">Manufacturing &amp; Services; Instrument Manufacturing (Navigation, Measuring &amp; </w:t>
      </w:r>
      <w:proofErr w:type="spellStart"/>
      <w:r>
        <w:t>Electromedical</w:t>
      </w:r>
      <w:proofErr w:type="spellEnd"/>
      <w:r>
        <w:t xml:space="preserve">); Pharmaceuticals (Life Sciences); Other Media &amp; Broadcasting, including Publishing; Medical Devices (Life Sciences); Biotechnology (Life Sciences); and I.T. Repair Services. </w:t>
      </w:r>
    </w:p>
    <w:p w:rsidR="00CD661D" w:rsidRDefault="00CD661D" w:rsidP="008E5447">
      <w:pPr>
        <w:spacing w:after="0" w:line="240" w:lineRule="auto"/>
        <w:rPr>
          <w:rFonts w:ascii="Calibri" w:eastAsia="Times New Roman" w:hAnsi="Calibri" w:cs="Times New Roman"/>
          <w:bCs/>
        </w:rPr>
      </w:pPr>
    </w:p>
    <w:p w:rsidR="00CD661D" w:rsidRDefault="00CD661D" w:rsidP="008E5447">
      <w:pPr>
        <w:spacing w:after="0" w:line="240" w:lineRule="auto"/>
        <w:rPr>
          <w:rFonts w:ascii="Calibri" w:eastAsia="Times New Roman" w:hAnsi="Calibri" w:cs="Times New Roman"/>
          <w:bCs/>
        </w:rPr>
      </w:pPr>
      <w:r w:rsidRPr="00CD661D">
        <w:rPr>
          <w:rFonts w:ascii="Calibri" w:eastAsia="Times New Roman" w:hAnsi="Calibri" w:cs="Times New Roman"/>
          <w:b/>
          <w:bCs/>
        </w:rPr>
        <w:t>Community Infrastructure and Services</w:t>
      </w:r>
      <w:r>
        <w:rPr>
          <w:rFonts w:ascii="Calibri" w:eastAsia="Times New Roman" w:hAnsi="Calibri" w:cs="Times New Roman"/>
          <w:bCs/>
        </w:rPr>
        <w:t xml:space="preserve"> </w:t>
      </w:r>
      <w:r w:rsidRPr="00CD661D">
        <w:rPr>
          <w:rFonts w:ascii="Calibri" w:eastAsia="Times New Roman" w:hAnsi="Calibri" w:cs="Times New Roman"/>
          <w:b/>
          <w:bCs/>
        </w:rPr>
        <w:t>(+23%)</w:t>
      </w:r>
      <w:r>
        <w:rPr>
          <w:rFonts w:ascii="Calibri" w:eastAsia="Times New Roman" w:hAnsi="Calibri" w:cs="Times New Roman"/>
          <w:bCs/>
        </w:rPr>
        <w:t xml:space="preserve"> = </w:t>
      </w:r>
      <w:r>
        <w:t>Healthcare &amp; Social Services (including state and local government jobs); Retail; Accommodation &amp; Food Services; Education (including state and local government jobs); Construction; Local Government Administration; Transportation; Banking &amp; Financial Services; Arts, Entertainment &amp; Recreation; Personal Services; Federal Government Administration; Nonprofits; Insurance Services; State Government Administration; Warehousing &amp; Storage; and Utilities (including state and local government jobs).</w:t>
      </w:r>
    </w:p>
    <w:p w:rsidR="00CD661D" w:rsidRDefault="00CD661D" w:rsidP="008E5447">
      <w:pPr>
        <w:spacing w:after="0" w:line="240" w:lineRule="auto"/>
        <w:rPr>
          <w:rFonts w:ascii="Calibri" w:eastAsia="Times New Roman" w:hAnsi="Calibri" w:cs="Times New Roman"/>
          <w:bCs/>
        </w:rPr>
      </w:pPr>
    </w:p>
    <w:p w:rsidR="00CD661D" w:rsidRDefault="00CD661D" w:rsidP="00CD661D">
      <w:pPr>
        <w:spacing w:after="0" w:line="240" w:lineRule="auto"/>
        <w:rPr>
          <w:rFonts w:ascii="Calibri" w:eastAsia="Times New Roman" w:hAnsi="Calibri" w:cs="Times New Roman"/>
          <w:bCs/>
        </w:rPr>
      </w:pPr>
      <w:r w:rsidRPr="00CD661D">
        <w:rPr>
          <w:rFonts w:ascii="Calibri" w:eastAsia="Times New Roman" w:hAnsi="Calibri" w:cs="Times New Roman"/>
          <w:b/>
          <w:bCs/>
        </w:rPr>
        <w:t>Business Infrastructure and Services (+21%)</w:t>
      </w:r>
      <w:r>
        <w:rPr>
          <w:rFonts w:ascii="Calibri" w:eastAsia="Times New Roman" w:hAnsi="Calibri" w:cs="Times New Roman"/>
          <w:bCs/>
        </w:rPr>
        <w:t xml:space="preserve"> = </w:t>
      </w:r>
      <w:r>
        <w:t xml:space="preserve">Wholesale Trade; Personnel &amp; Accounting Services; Administrative Services; Technical &amp; Management Consulting Services; Facilities; Management Offices; Design, Architecture &amp; Engineering Services; Goods Movement; Legal; Investment &amp; Employer Insurance Services; and Marketing, Advertising &amp; Public Relations. </w:t>
      </w:r>
    </w:p>
    <w:p w:rsidR="00CD661D" w:rsidRDefault="00CD661D" w:rsidP="008E5447">
      <w:pPr>
        <w:spacing w:after="0" w:line="240" w:lineRule="auto"/>
        <w:rPr>
          <w:rFonts w:ascii="Calibri" w:eastAsia="Times New Roman" w:hAnsi="Calibri" w:cs="Times New Roman"/>
          <w:bCs/>
        </w:rPr>
      </w:pPr>
    </w:p>
    <w:p w:rsidR="008E5447" w:rsidRPr="008E5447" w:rsidRDefault="0052397D" w:rsidP="008E5447">
      <w:pPr>
        <w:spacing w:after="0" w:line="240" w:lineRule="auto"/>
        <w:rPr>
          <w:rFonts w:ascii="Calibri" w:eastAsia="Times New Roman" w:hAnsi="Calibri" w:cs="Times New Roman"/>
          <w:b/>
          <w:u w:val="single"/>
        </w:rPr>
      </w:pPr>
      <w:r w:rsidRPr="0052397D">
        <w:rPr>
          <w:rFonts w:ascii="Calibri" w:eastAsia="Times New Roman" w:hAnsi="Calibri" w:cs="Times New Roman"/>
          <w:b/>
          <w:bCs/>
          <w:u w:val="single"/>
        </w:rPr>
        <w:t>Housing</w:t>
      </w:r>
    </w:p>
    <w:p w:rsidR="008E5447" w:rsidRPr="008E5447" w:rsidRDefault="00655A94" w:rsidP="008E5447">
      <w:pPr>
        <w:spacing w:after="0" w:line="240" w:lineRule="auto"/>
        <w:rPr>
          <w:rFonts w:ascii="Calibri" w:eastAsia="Times New Roman" w:hAnsi="Calibri" w:cs="Times New Roman"/>
        </w:rPr>
      </w:pPr>
      <w:r>
        <w:rPr>
          <w:rFonts w:ascii="Calibri" w:eastAsia="Times New Roman" w:hAnsi="Calibri" w:cs="Times New Roman"/>
        </w:rPr>
        <w:t>Median home prices continue to grow (+7% in 2017, $968,000)</w:t>
      </w:r>
      <w:r w:rsidR="006E1574">
        <w:rPr>
          <w:rFonts w:ascii="Calibri" w:eastAsia="Times New Roman" w:hAnsi="Calibri" w:cs="Times New Roman"/>
        </w:rPr>
        <w:t xml:space="preserve"> – highest in nation</w:t>
      </w:r>
    </w:p>
    <w:p w:rsidR="0052397D" w:rsidRPr="008E5447" w:rsidRDefault="0052397D" w:rsidP="0052397D">
      <w:pPr>
        <w:spacing w:after="0" w:line="240" w:lineRule="auto"/>
        <w:rPr>
          <w:rFonts w:ascii="Calibri" w:eastAsia="Times New Roman" w:hAnsi="Calibri" w:cs="Times New Roman"/>
        </w:rPr>
      </w:pPr>
      <w:r w:rsidRPr="008E5447">
        <w:rPr>
          <w:rFonts w:ascii="Calibri" w:eastAsia="Times New Roman" w:hAnsi="Calibri" w:cs="Times New Roman"/>
        </w:rPr>
        <w:t>Rental costs seem to be flat</w:t>
      </w:r>
    </w:p>
    <w:p w:rsidR="005D534F" w:rsidRDefault="005D534F" w:rsidP="0052397D">
      <w:pPr>
        <w:spacing w:after="0" w:line="240" w:lineRule="auto"/>
        <w:rPr>
          <w:rFonts w:ascii="Calibri" w:eastAsia="Times New Roman" w:hAnsi="Calibri" w:cs="Times New Roman"/>
        </w:rPr>
      </w:pPr>
      <w:r>
        <w:rPr>
          <w:rFonts w:ascii="Calibri" w:eastAsia="Times New Roman" w:hAnsi="Calibri" w:cs="Times New Roman"/>
        </w:rPr>
        <w:t>Rise in m</w:t>
      </w:r>
      <w:r w:rsidR="0052397D" w:rsidRPr="008E5447">
        <w:rPr>
          <w:rFonts w:ascii="Calibri" w:eastAsia="Times New Roman" w:hAnsi="Calibri" w:cs="Times New Roman"/>
        </w:rPr>
        <w:t>ultigenerational househol</w:t>
      </w:r>
      <w:r w:rsidR="006E1574">
        <w:rPr>
          <w:rFonts w:ascii="Calibri" w:eastAsia="Times New Roman" w:hAnsi="Calibri" w:cs="Times New Roman"/>
        </w:rPr>
        <w:t>ds between</w:t>
      </w:r>
      <w:r w:rsidR="0052397D" w:rsidRPr="008E5447">
        <w:rPr>
          <w:rFonts w:ascii="Calibri" w:eastAsia="Times New Roman" w:hAnsi="Calibri" w:cs="Times New Roman"/>
        </w:rPr>
        <w:t xml:space="preserve"> ages 18-40 more living at home </w:t>
      </w:r>
    </w:p>
    <w:p w:rsidR="008E5447" w:rsidRPr="008E5447" w:rsidRDefault="008E5447" w:rsidP="008E5447">
      <w:pPr>
        <w:spacing w:after="0" w:line="240" w:lineRule="auto"/>
        <w:rPr>
          <w:rFonts w:ascii="Calibri" w:eastAsia="Times New Roman" w:hAnsi="Calibri" w:cs="Times New Roman"/>
        </w:rPr>
      </w:pPr>
    </w:p>
    <w:p w:rsidR="00AC0513" w:rsidRPr="00AC0513" w:rsidRDefault="00975B48" w:rsidP="008E5447">
      <w:pPr>
        <w:spacing w:after="0" w:line="240" w:lineRule="auto"/>
        <w:rPr>
          <w:rFonts w:ascii="Calibri" w:eastAsia="Times New Roman" w:hAnsi="Calibri" w:cs="Times New Roman"/>
        </w:rPr>
      </w:pPr>
      <w:r w:rsidRPr="00975B48">
        <w:rPr>
          <w:rFonts w:ascii="Calibri" w:eastAsia="Times New Roman" w:hAnsi="Calibri" w:cs="Times New Roman"/>
          <w:b/>
          <w:u w:val="single"/>
        </w:rPr>
        <w:t>Income</w:t>
      </w:r>
      <w:r w:rsidR="005D534F">
        <w:rPr>
          <w:rFonts w:ascii="Calibri" w:eastAsia="Times New Roman" w:hAnsi="Calibri" w:cs="Times New Roman"/>
          <w:b/>
          <w:u w:val="single"/>
        </w:rPr>
        <w:t>, Poverty and Child Care</w:t>
      </w:r>
      <w:r>
        <w:rPr>
          <w:rFonts w:ascii="Calibri" w:eastAsia="Times New Roman" w:hAnsi="Calibri" w:cs="Times New Roman"/>
          <w:b/>
          <w:u w:val="single"/>
        </w:rPr>
        <w:br/>
      </w:r>
      <w:r w:rsidRPr="00975B48">
        <w:rPr>
          <w:rFonts w:ascii="Calibri" w:eastAsia="Times New Roman" w:hAnsi="Calibri" w:cs="Times New Roman"/>
        </w:rPr>
        <w:t xml:space="preserve">Average income varies drastically from $31,000 in service occupations to $107,000 in management, </w:t>
      </w:r>
      <w:r w:rsidR="00AC0513">
        <w:rPr>
          <w:rFonts w:ascii="Calibri" w:eastAsia="Times New Roman" w:hAnsi="Calibri" w:cs="Times New Roman"/>
        </w:rPr>
        <w:t>More than 10% of SV p</w:t>
      </w:r>
      <w:r w:rsidR="005D534F">
        <w:rPr>
          <w:rFonts w:ascii="Calibri" w:eastAsia="Times New Roman" w:hAnsi="Calibri" w:cs="Times New Roman"/>
        </w:rPr>
        <w:t>opulation lacks access to food</w:t>
      </w:r>
    </w:p>
    <w:p w:rsidR="008E5447" w:rsidRDefault="00655A94" w:rsidP="008E5447">
      <w:pPr>
        <w:spacing w:after="0" w:line="240" w:lineRule="auto"/>
        <w:rPr>
          <w:rFonts w:ascii="Calibri" w:eastAsia="Times New Roman" w:hAnsi="Calibri" w:cs="Times New Roman"/>
        </w:rPr>
      </w:pPr>
      <w:r>
        <w:rPr>
          <w:rFonts w:ascii="Calibri" w:eastAsia="Times New Roman" w:hAnsi="Calibri" w:cs="Times New Roman"/>
        </w:rPr>
        <w:t>Child care costs steadily increasing – between 15,000 and 20,000 per year for infants and preschoolers</w:t>
      </w:r>
      <w:r w:rsidR="008E5447" w:rsidRPr="008E5447">
        <w:rPr>
          <w:rFonts w:ascii="Calibri" w:eastAsia="Times New Roman" w:hAnsi="Calibri" w:cs="Times New Roman"/>
        </w:rPr>
        <w:t> </w:t>
      </w:r>
    </w:p>
    <w:p w:rsidR="00655A94" w:rsidRDefault="00655A94" w:rsidP="008E5447">
      <w:pPr>
        <w:spacing w:after="0" w:line="240" w:lineRule="auto"/>
        <w:rPr>
          <w:rFonts w:ascii="Calibri" w:eastAsia="Times New Roman" w:hAnsi="Calibri" w:cs="Times New Roman"/>
        </w:rPr>
      </w:pPr>
    </w:p>
    <w:p w:rsidR="0052397D" w:rsidRPr="0052397D" w:rsidRDefault="0052397D" w:rsidP="008E5447">
      <w:pPr>
        <w:spacing w:after="0" w:line="240" w:lineRule="auto"/>
        <w:rPr>
          <w:rFonts w:ascii="Calibri" w:eastAsia="Times New Roman" w:hAnsi="Calibri" w:cs="Times New Roman"/>
          <w:b/>
          <w:u w:val="single"/>
        </w:rPr>
      </w:pPr>
      <w:r w:rsidRPr="0052397D">
        <w:rPr>
          <w:rFonts w:ascii="Calibri" w:eastAsia="Times New Roman" w:hAnsi="Calibri" w:cs="Times New Roman"/>
          <w:b/>
          <w:u w:val="single"/>
        </w:rPr>
        <w:t>Commute</w:t>
      </w:r>
    </w:p>
    <w:p w:rsidR="00655A94" w:rsidRDefault="00655A94" w:rsidP="008E5447">
      <w:pPr>
        <w:spacing w:after="0" w:line="240" w:lineRule="auto"/>
        <w:rPr>
          <w:rFonts w:ascii="Calibri" w:eastAsia="Times New Roman" w:hAnsi="Calibri" w:cs="Times New Roman"/>
        </w:rPr>
      </w:pPr>
      <w:r>
        <w:rPr>
          <w:rFonts w:ascii="Calibri" w:eastAsia="Times New Roman" w:hAnsi="Calibri" w:cs="Times New Roman"/>
        </w:rPr>
        <w:t>Commute times have increased by 17% adding an average of 43 minutes weekly per commuter and delays have more than doubled over the past decade</w:t>
      </w:r>
    </w:p>
    <w:p w:rsidR="008E5447" w:rsidRDefault="008E5447" w:rsidP="008E5447">
      <w:pPr>
        <w:spacing w:after="0" w:line="240" w:lineRule="auto"/>
        <w:rPr>
          <w:rFonts w:ascii="Calibri" w:eastAsia="Times New Roman" w:hAnsi="Calibri" w:cs="Times New Roman"/>
        </w:rPr>
      </w:pPr>
      <w:r w:rsidRPr="008E5447">
        <w:rPr>
          <w:rFonts w:ascii="Calibri" w:eastAsia="Times New Roman" w:hAnsi="Calibri" w:cs="Times New Roman"/>
        </w:rPr>
        <w:t>70% drive alone</w:t>
      </w:r>
    </w:p>
    <w:p w:rsidR="00170081" w:rsidRPr="008E5447" w:rsidRDefault="00170081" w:rsidP="008E5447">
      <w:pPr>
        <w:spacing w:after="0" w:line="240" w:lineRule="auto"/>
        <w:rPr>
          <w:rFonts w:ascii="Calibri" w:eastAsia="Times New Roman" w:hAnsi="Calibri" w:cs="Times New Roman"/>
        </w:rPr>
      </w:pPr>
      <w:r>
        <w:rPr>
          <w:rFonts w:ascii="Calibri" w:eastAsia="Times New Roman" w:hAnsi="Calibri" w:cs="Times New Roman"/>
        </w:rPr>
        <w:t xml:space="preserve">While overall public transit use has gone down </w:t>
      </w:r>
      <w:r w:rsidR="00DA3421">
        <w:rPr>
          <w:rFonts w:ascii="Calibri" w:eastAsia="Times New Roman" w:hAnsi="Calibri" w:cs="Times New Roman"/>
        </w:rPr>
        <w:t>15%, express bus service use has increased 31%</w:t>
      </w:r>
    </w:p>
    <w:p w:rsidR="008E5447" w:rsidRPr="008E5447" w:rsidRDefault="00975B48" w:rsidP="008E5447">
      <w:pPr>
        <w:spacing w:after="0" w:line="240" w:lineRule="auto"/>
        <w:rPr>
          <w:rFonts w:ascii="Calibri" w:eastAsia="Times New Roman" w:hAnsi="Calibri" w:cs="Times New Roman"/>
        </w:rPr>
      </w:pPr>
      <w:r>
        <w:rPr>
          <w:rFonts w:ascii="Calibri" w:eastAsia="Times New Roman" w:hAnsi="Calibri" w:cs="Times New Roman"/>
        </w:rPr>
        <w:t>Ridership on private shuttles now represents the Bay Area</w:t>
      </w:r>
      <w:r w:rsidR="005D534F">
        <w:rPr>
          <w:rFonts w:ascii="Calibri" w:eastAsia="Times New Roman" w:hAnsi="Calibri" w:cs="Times New Roman"/>
        </w:rPr>
        <w:t>’</w:t>
      </w:r>
      <w:r>
        <w:rPr>
          <w:rFonts w:ascii="Calibri" w:eastAsia="Times New Roman" w:hAnsi="Calibri" w:cs="Times New Roman"/>
        </w:rPr>
        <w:t>s 7</w:t>
      </w:r>
      <w:r w:rsidRPr="00975B48">
        <w:rPr>
          <w:rFonts w:ascii="Calibri" w:eastAsia="Times New Roman" w:hAnsi="Calibri" w:cs="Times New Roman"/>
          <w:vertAlign w:val="superscript"/>
        </w:rPr>
        <w:t>th</w:t>
      </w:r>
      <w:r>
        <w:rPr>
          <w:rFonts w:ascii="Calibri" w:eastAsia="Times New Roman" w:hAnsi="Calibri" w:cs="Times New Roman"/>
        </w:rPr>
        <w:t xml:space="preserve"> largest mass transit system </w:t>
      </w:r>
    </w:p>
    <w:p w:rsidR="008E5447" w:rsidRPr="008E5447" w:rsidRDefault="008E5447" w:rsidP="008E5447">
      <w:pPr>
        <w:spacing w:after="0" w:line="240" w:lineRule="auto"/>
        <w:rPr>
          <w:rFonts w:ascii="Calibri" w:eastAsia="Times New Roman" w:hAnsi="Calibri" w:cs="Times New Roman"/>
        </w:rPr>
      </w:pPr>
      <w:r w:rsidRPr="008E5447">
        <w:rPr>
          <w:rFonts w:ascii="Calibri" w:eastAsia="Times New Roman" w:hAnsi="Calibri" w:cs="Times New Roman"/>
        </w:rPr>
        <w:t> </w:t>
      </w:r>
    </w:p>
    <w:p w:rsidR="008E5447" w:rsidRPr="00655A94" w:rsidRDefault="006B1120" w:rsidP="008E5447">
      <w:pPr>
        <w:spacing w:after="0" w:line="240" w:lineRule="auto"/>
        <w:rPr>
          <w:rFonts w:ascii="Calibri" w:eastAsia="Times New Roman" w:hAnsi="Calibri" w:cs="Times New Roman"/>
        </w:rPr>
      </w:pPr>
      <w:r w:rsidRPr="006B1120">
        <w:rPr>
          <w:rFonts w:ascii="Calibri" w:eastAsia="Times New Roman" w:hAnsi="Calibri" w:cs="Times New Roman"/>
          <w:b/>
          <w:u w:val="single"/>
        </w:rPr>
        <w:t>High School Graduates and Drop Out Rates</w:t>
      </w:r>
      <w:r w:rsidRPr="006B1120">
        <w:rPr>
          <w:rFonts w:ascii="Calibri" w:eastAsia="Times New Roman" w:hAnsi="Calibri" w:cs="Times New Roman"/>
          <w:b/>
          <w:u w:val="single"/>
        </w:rPr>
        <w:br/>
      </w:r>
      <w:r w:rsidRPr="00655A94">
        <w:rPr>
          <w:rFonts w:ascii="Calibri" w:eastAsia="Times New Roman" w:hAnsi="Calibri" w:cs="Times New Roman"/>
        </w:rPr>
        <w:t xml:space="preserve">10% of students do not complete high school </w:t>
      </w:r>
      <w:r w:rsidR="00655A94" w:rsidRPr="00655A94">
        <w:rPr>
          <w:rFonts w:ascii="Calibri" w:eastAsia="Times New Roman" w:hAnsi="Calibri" w:cs="Times New Roman"/>
        </w:rPr>
        <w:t xml:space="preserve">– decreased </w:t>
      </w:r>
      <w:r w:rsidR="00655A94">
        <w:rPr>
          <w:rFonts w:ascii="Calibri" w:eastAsia="Times New Roman" w:hAnsi="Calibri" w:cs="Times New Roman"/>
        </w:rPr>
        <w:t>from 12% six</w:t>
      </w:r>
      <w:r w:rsidR="00655A94" w:rsidRPr="00655A94">
        <w:rPr>
          <w:rFonts w:ascii="Calibri" w:eastAsia="Times New Roman" w:hAnsi="Calibri" w:cs="Times New Roman"/>
        </w:rPr>
        <w:t xml:space="preserve"> years ago</w:t>
      </w:r>
    </w:p>
    <w:p w:rsidR="006B1120" w:rsidRPr="008E5447" w:rsidRDefault="006B1120" w:rsidP="008E5447">
      <w:pPr>
        <w:spacing w:after="0" w:line="240" w:lineRule="auto"/>
        <w:rPr>
          <w:rFonts w:ascii="Calibri" w:eastAsia="Times New Roman" w:hAnsi="Calibri" w:cs="Times New Roman"/>
        </w:rPr>
      </w:pPr>
      <w:r w:rsidRPr="00655A94">
        <w:rPr>
          <w:rFonts w:ascii="Calibri" w:eastAsia="Times New Roman" w:hAnsi="Calibri" w:cs="Times New Roman"/>
        </w:rPr>
        <w:t>54% are NOT eligible for CSU or UC</w:t>
      </w:r>
      <w:r w:rsidR="00655A94" w:rsidRPr="00655A94">
        <w:rPr>
          <w:rFonts w:ascii="Calibri" w:eastAsia="Times New Roman" w:hAnsi="Calibri" w:cs="Times New Roman"/>
        </w:rPr>
        <w:t xml:space="preserve"> – increased from 47% </w:t>
      </w:r>
      <w:r w:rsidR="00655A94">
        <w:rPr>
          <w:rFonts w:ascii="Calibri" w:eastAsia="Times New Roman" w:hAnsi="Calibri" w:cs="Times New Roman"/>
        </w:rPr>
        <w:t>six</w:t>
      </w:r>
      <w:r w:rsidR="00655A94" w:rsidRPr="00655A94">
        <w:rPr>
          <w:rFonts w:ascii="Calibri" w:eastAsia="Times New Roman" w:hAnsi="Calibri" w:cs="Times New Roman"/>
        </w:rPr>
        <w:t xml:space="preserve"> years ago</w:t>
      </w:r>
    </w:p>
    <w:p w:rsidR="008E5447" w:rsidRPr="008E5447" w:rsidRDefault="008E5447" w:rsidP="008E5447">
      <w:pPr>
        <w:rPr>
          <w:b/>
        </w:rPr>
      </w:pPr>
    </w:p>
    <w:sectPr w:rsidR="008E5447" w:rsidRPr="008E544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228F" w:rsidRDefault="00CB228F" w:rsidP="005D534F">
      <w:pPr>
        <w:spacing w:after="0" w:line="240" w:lineRule="auto"/>
      </w:pPr>
      <w:r>
        <w:separator/>
      </w:r>
    </w:p>
  </w:endnote>
  <w:endnote w:type="continuationSeparator" w:id="0">
    <w:p w:rsidR="00CB228F" w:rsidRDefault="00CB228F" w:rsidP="005D5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6546322"/>
      <w:docPartObj>
        <w:docPartGallery w:val="Page Numbers (Bottom of Page)"/>
        <w:docPartUnique/>
      </w:docPartObj>
    </w:sdtPr>
    <w:sdtEndPr>
      <w:rPr>
        <w:noProof/>
      </w:rPr>
    </w:sdtEndPr>
    <w:sdtContent>
      <w:p w:rsidR="005D534F" w:rsidRDefault="005D534F">
        <w:pPr>
          <w:pStyle w:val="Footer"/>
          <w:jc w:val="right"/>
        </w:pPr>
        <w:r>
          <w:fldChar w:fldCharType="begin"/>
        </w:r>
        <w:r>
          <w:instrText xml:space="preserve"> PAGE   \* MERGEFORMAT </w:instrText>
        </w:r>
        <w:r>
          <w:fldChar w:fldCharType="separate"/>
        </w:r>
        <w:r w:rsidR="005951E0">
          <w:rPr>
            <w:noProof/>
          </w:rPr>
          <w:t>2</w:t>
        </w:r>
        <w:r>
          <w:rPr>
            <w:noProof/>
          </w:rPr>
          <w:fldChar w:fldCharType="end"/>
        </w:r>
      </w:p>
    </w:sdtContent>
  </w:sdt>
  <w:p w:rsidR="005D534F" w:rsidRDefault="005D53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228F" w:rsidRDefault="00CB228F" w:rsidP="005D534F">
      <w:pPr>
        <w:spacing w:after="0" w:line="240" w:lineRule="auto"/>
      </w:pPr>
      <w:r>
        <w:separator/>
      </w:r>
    </w:p>
  </w:footnote>
  <w:footnote w:type="continuationSeparator" w:id="0">
    <w:p w:rsidR="00CB228F" w:rsidRDefault="00CB228F" w:rsidP="005D534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447"/>
    <w:rsid w:val="00065C9D"/>
    <w:rsid w:val="00170081"/>
    <w:rsid w:val="001E6B2E"/>
    <w:rsid w:val="0052397D"/>
    <w:rsid w:val="005951E0"/>
    <w:rsid w:val="005D534F"/>
    <w:rsid w:val="00602E17"/>
    <w:rsid w:val="00655A94"/>
    <w:rsid w:val="006B1120"/>
    <w:rsid w:val="006E1574"/>
    <w:rsid w:val="006F2B53"/>
    <w:rsid w:val="008E5447"/>
    <w:rsid w:val="00975B48"/>
    <w:rsid w:val="00A068A9"/>
    <w:rsid w:val="00AC0513"/>
    <w:rsid w:val="00B25627"/>
    <w:rsid w:val="00CB228F"/>
    <w:rsid w:val="00CD661D"/>
    <w:rsid w:val="00D118EC"/>
    <w:rsid w:val="00DA3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379679-50A1-4CB7-A3BD-927224356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18EC"/>
    <w:rPr>
      <w:color w:val="0563C1" w:themeColor="hyperlink"/>
      <w:u w:val="single"/>
    </w:rPr>
  </w:style>
  <w:style w:type="paragraph" w:styleId="Header">
    <w:name w:val="header"/>
    <w:basedOn w:val="Normal"/>
    <w:link w:val="HeaderChar"/>
    <w:uiPriority w:val="99"/>
    <w:unhideWhenUsed/>
    <w:rsid w:val="005D53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534F"/>
  </w:style>
  <w:style w:type="paragraph" w:styleId="Footer">
    <w:name w:val="footer"/>
    <w:basedOn w:val="Normal"/>
    <w:link w:val="FooterChar"/>
    <w:uiPriority w:val="99"/>
    <w:unhideWhenUsed/>
    <w:rsid w:val="005D53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53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8185247">
      <w:bodyDiv w:val="1"/>
      <w:marLeft w:val="0"/>
      <w:marRight w:val="0"/>
      <w:marTop w:val="0"/>
      <w:marBottom w:val="0"/>
      <w:divBdr>
        <w:top w:val="none" w:sz="0" w:space="0" w:color="auto"/>
        <w:left w:val="none" w:sz="0" w:space="0" w:color="auto"/>
        <w:bottom w:val="none" w:sz="0" w:space="0" w:color="auto"/>
        <w:right w:val="none" w:sz="0" w:space="0" w:color="auto"/>
      </w:divBdr>
      <w:divsChild>
        <w:div w:id="783958725">
          <w:marLeft w:val="0"/>
          <w:marRight w:val="0"/>
          <w:marTop w:val="0"/>
          <w:marBottom w:val="0"/>
          <w:divBdr>
            <w:top w:val="none" w:sz="0" w:space="0" w:color="auto"/>
            <w:left w:val="none" w:sz="0" w:space="0" w:color="auto"/>
            <w:bottom w:val="none" w:sz="0" w:space="0" w:color="auto"/>
            <w:right w:val="none" w:sz="0" w:space="0" w:color="auto"/>
          </w:divBdr>
        </w:div>
        <w:div w:id="440607262">
          <w:marLeft w:val="0"/>
          <w:marRight w:val="0"/>
          <w:marTop w:val="0"/>
          <w:marBottom w:val="0"/>
          <w:divBdr>
            <w:top w:val="none" w:sz="0" w:space="0" w:color="auto"/>
            <w:left w:val="none" w:sz="0" w:space="0" w:color="auto"/>
            <w:bottom w:val="none" w:sz="0" w:space="0" w:color="auto"/>
            <w:right w:val="none" w:sz="0" w:space="0" w:color="auto"/>
          </w:divBdr>
        </w:div>
        <w:div w:id="1910384173">
          <w:marLeft w:val="0"/>
          <w:marRight w:val="0"/>
          <w:marTop w:val="0"/>
          <w:marBottom w:val="0"/>
          <w:divBdr>
            <w:top w:val="none" w:sz="0" w:space="0" w:color="auto"/>
            <w:left w:val="none" w:sz="0" w:space="0" w:color="auto"/>
            <w:bottom w:val="none" w:sz="0" w:space="0" w:color="auto"/>
            <w:right w:val="none" w:sz="0" w:space="0" w:color="auto"/>
          </w:divBdr>
        </w:div>
        <w:div w:id="327944658">
          <w:marLeft w:val="0"/>
          <w:marRight w:val="0"/>
          <w:marTop w:val="0"/>
          <w:marBottom w:val="0"/>
          <w:divBdr>
            <w:top w:val="none" w:sz="0" w:space="0" w:color="auto"/>
            <w:left w:val="none" w:sz="0" w:space="0" w:color="auto"/>
            <w:bottom w:val="none" w:sz="0" w:space="0" w:color="auto"/>
            <w:right w:val="none" w:sz="0" w:space="0" w:color="auto"/>
          </w:divBdr>
        </w:div>
        <w:div w:id="1186208282">
          <w:marLeft w:val="0"/>
          <w:marRight w:val="0"/>
          <w:marTop w:val="0"/>
          <w:marBottom w:val="0"/>
          <w:divBdr>
            <w:top w:val="none" w:sz="0" w:space="0" w:color="auto"/>
            <w:left w:val="none" w:sz="0" w:space="0" w:color="auto"/>
            <w:bottom w:val="none" w:sz="0" w:space="0" w:color="auto"/>
            <w:right w:val="none" w:sz="0" w:space="0" w:color="auto"/>
          </w:divBdr>
        </w:div>
        <w:div w:id="2028481269">
          <w:marLeft w:val="0"/>
          <w:marRight w:val="0"/>
          <w:marTop w:val="0"/>
          <w:marBottom w:val="0"/>
          <w:divBdr>
            <w:top w:val="none" w:sz="0" w:space="0" w:color="auto"/>
            <w:left w:val="none" w:sz="0" w:space="0" w:color="auto"/>
            <w:bottom w:val="none" w:sz="0" w:space="0" w:color="auto"/>
            <w:right w:val="none" w:sz="0" w:space="0" w:color="auto"/>
          </w:divBdr>
        </w:div>
        <w:div w:id="2118258791">
          <w:marLeft w:val="0"/>
          <w:marRight w:val="0"/>
          <w:marTop w:val="0"/>
          <w:marBottom w:val="0"/>
          <w:divBdr>
            <w:top w:val="none" w:sz="0" w:space="0" w:color="auto"/>
            <w:left w:val="none" w:sz="0" w:space="0" w:color="auto"/>
            <w:bottom w:val="none" w:sz="0" w:space="0" w:color="auto"/>
            <w:right w:val="none" w:sz="0" w:space="0" w:color="auto"/>
          </w:divBdr>
        </w:div>
        <w:div w:id="1051610743">
          <w:marLeft w:val="0"/>
          <w:marRight w:val="0"/>
          <w:marTop w:val="0"/>
          <w:marBottom w:val="0"/>
          <w:divBdr>
            <w:top w:val="none" w:sz="0" w:space="0" w:color="auto"/>
            <w:left w:val="none" w:sz="0" w:space="0" w:color="auto"/>
            <w:bottom w:val="none" w:sz="0" w:space="0" w:color="auto"/>
            <w:right w:val="none" w:sz="0" w:space="0" w:color="auto"/>
          </w:divBdr>
        </w:div>
        <w:div w:id="963274231">
          <w:marLeft w:val="0"/>
          <w:marRight w:val="0"/>
          <w:marTop w:val="0"/>
          <w:marBottom w:val="0"/>
          <w:divBdr>
            <w:top w:val="none" w:sz="0" w:space="0" w:color="auto"/>
            <w:left w:val="none" w:sz="0" w:space="0" w:color="auto"/>
            <w:bottom w:val="none" w:sz="0" w:space="0" w:color="auto"/>
            <w:right w:val="none" w:sz="0" w:space="0" w:color="auto"/>
          </w:divBdr>
        </w:div>
        <w:div w:id="1324703430">
          <w:marLeft w:val="0"/>
          <w:marRight w:val="0"/>
          <w:marTop w:val="0"/>
          <w:marBottom w:val="0"/>
          <w:divBdr>
            <w:top w:val="none" w:sz="0" w:space="0" w:color="auto"/>
            <w:left w:val="none" w:sz="0" w:space="0" w:color="auto"/>
            <w:bottom w:val="none" w:sz="0" w:space="0" w:color="auto"/>
            <w:right w:val="none" w:sz="0" w:space="0" w:color="auto"/>
          </w:divBdr>
        </w:div>
        <w:div w:id="2044557266">
          <w:marLeft w:val="0"/>
          <w:marRight w:val="0"/>
          <w:marTop w:val="0"/>
          <w:marBottom w:val="0"/>
          <w:divBdr>
            <w:top w:val="none" w:sz="0" w:space="0" w:color="auto"/>
            <w:left w:val="none" w:sz="0" w:space="0" w:color="auto"/>
            <w:bottom w:val="none" w:sz="0" w:space="0" w:color="auto"/>
            <w:right w:val="none" w:sz="0" w:space="0" w:color="auto"/>
          </w:divBdr>
        </w:div>
        <w:div w:id="1780295681">
          <w:marLeft w:val="0"/>
          <w:marRight w:val="0"/>
          <w:marTop w:val="0"/>
          <w:marBottom w:val="0"/>
          <w:divBdr>
            <w:top w:val="none" w:sz="0" w:space="0" w:color="auto"/>
            <w:left w:val="none" w:sz="0" w:space="0" w:color="auto"/>
            <w:bottom w:val="none" w:sz="0" w:space="0" w:color="auto"/>
            <w:right w:val="none" w:sz="0" w:space="0" w:color="auto"/>
          </w:divBdr>
        </w:div>
        <w:div w:id="1243297117">
          <w:marLeft w:val="0"/>
          <w:marRight w:val="0"/>
          <w:marTop w:val="0"/>
          <w:marBottom w:val="0"/>
          <w:divBdr>
            <w:top w:val="none" w:sz="0" w:space="0" w:color="auto"/>
            <w:left w:val="none" w:sz="0" w:space="0" w:color="auto"/>
            <w:bottom w:val="none" w:sz="0" w:space="0" w:color="auto"/>
            <w:right w:val="none" w:sz="0" w:space="0" w:color="auto"/>
          </w:divBdr>
        </w:div>
        <w:div w:id="1101409717">
          <w:marLeft w:val="0"/>
          <w:marRight w:val="0"/>
          <w:marTop w:val="0"/>
          <w:marBottom w:val="0"/>
          <w:divBdr>
            <w:top w:val="none" w:sz="0" w:space="0" w:color="auto"/>
            <w:left w:val="none" w:sz="0" w:space="0" w:color="auto"/>
            <w:bottom w:val="none" w:sz="0" w:space="0" w:color="auto"/>
            <w:right w:val="none" w:sz="0" w:space="0" w:color="auto"/>
          </w:divBdr>
        </w:div>
        <w:div w:id="2108385771">
          <w:marLeft w:val="0"/>
          <w:marRight w:val="0"/>
          <w:marTop w:val="0"/>
          <w:marBottom w:val="0"/>
          <w:divBdr>
            <w:top w:val="none" w:sz="0" w:space="0" w:color="auto"/>
            <w:left w:val="none" w:sz="0" w:space="0" w:color="auto"/>
            <w:bottom w:val="none" w:sz="0" w:space="0" w:color="auto"/>
            <w:right w:val="none" w:sz="0" w:space="0" w:color="auto"/>
          </w:divBdr>
        </w:div>
        <w:div w:id="380789958">
          <w:marLeft w:val="0"/>
          <w:marRight w:val="0"/>
          <w:marTop w:val="0"/>
          <w:marBottom w:val="0"/>
          <w:divBdr>
            <w:top w:val="none" w:sz="0" w:space="0" w:color="auto"/>
            <w:left w:val="none" w:sz="0" w:space="0" w:color="auto"/>
            <w:bottom w:val="none" w:sz="0" w:space="0" w:color="auto"/>
            <w:right w:val="none" w:sz="0" w:space="0" w:color="auto"/>
          </w:divBdr>
        </w:div>
        <w:div w:id="869025452">
          <w:marLeft w:val="0"/>
          <w:marRight w:val="0"/>
          <w:marTop w:val="0"/>
          <w:marBottom w:val="0"/>
          <w:divBdr>
            <w:top w:val="none" w:sz="0" w:space="0" w:color="auto"/>
            <w:left w:val="none" w:sz="0" w:space="0" w:color="auto"/>
            <w:bottom w:val="none" w:sz="0" w:space="0" w:color="auto"/>
            <w:right w:val="none" w:sz="0" w:space="0" w:color="auto"/>
          </w:divBdr>
        </w:div>
        <w:div w:id="1354768000">
          <w:marLeft w:val="0"/>
          <w:marRight w:val="0"/>
          <w:marTop w:val="0"/>
          <w:marBottom w:val="0"/>
          <w:divBdr>
            <w:top w:val="none" w:sz="0" w:space="0" w:color="auto"/>
            <w:left w:val="none" w:sz="0" w:space="0" w:color="auto"/>
            <w:bottom w:val="none" w:sz="0" w:space="0" w:color="auto"/>
            <w:right w:val="none" w:sz="0" w:space="0" w:color="auto"/>
          </w:divBdr>
        </w:div>
        <w:div w:id="812065278">
          <w:marLeft w:val="0"/>
          <w:marRight w:val="0"/>
          <w:marTop w:val="0"/>
          <w:marBottom w:val="0"/>
          <w:divBdr>
            <w:top w:val="none" w:sz="0" w:space="0" w:color="auto"/>
            <w:left w:val="none" w:sz="0" w:space="0" w:color="auto"/>
            <w:bottom w:val="none" w:sz="0" w:space="0" w:color="auto"/>
            <w:right w:val="none" w:sz="0" w:space="0" w:color="auto"/>
          </w:divBdr>
        </w:div>
        <w:div w:id="398359810">
          <w:marLeft w:val="0"/>
          <w:marRight w:val="0"/>
          <w:marTop w:val="0"/>
          <w:marBottom w:val="0"/>
          <w:divBdr>
            <w:top w:val="none" w:sz="0" w:space="0" w:color="auto"/>
            <w:left w:val="none" w:sz="0" w:space="0" w:color="auto"/>
            <w:bottom w:val="none" w:sz="0" w:space="0" w:color="auto"/>
            <w:right w:val="none" w:sz="0" w:space="0" w:color="auto"/>
          </w:divBdr>
        </w:div>
        <w:div w:id="1732343679">
          <w:marLeft w:val="0"/>
          <w:marRight w:val="0"/>
          <w:marTop w:val="0"/>
          <w:marBottom w:val="0"/>
          <w:divBdr>
            <w:top w:val="none" w:sz="0" w:space="0" w:color="auto"/>
            <w:left w:val="none" w:sz="0" w:space="0" w:color="auto"/>
            <w:bottom w:val="none" w:sz="0" w:space="0" w:color="auto"/>
            <w:right w:val="none" w:sz="0" w:space="0" w:color="auto"/>
          </w:divBdr>
        </w:div>
        <w:div w:id="1840197174">
          <w:marLeft w:val="0"/>
          <w:marRight w:val="0"/>
          <w:marTop w:val="0"/>
          <w:marBottom w:val="0"/>
          <w:divBdr>
            <w:top w:val="none" w:sz="0" w:space="0" w:color="auto"/>
            <w:left w:val="none" w:sz="0" w:space="0" w:color="auto"/>
            <w:bottom w:val="none" w:sz="0" w:space="0" w:color="auto"/>
            <w:right w:val="none" w:sz="0" w:space="0" w:color="auto"/>
          </w:divBdr>
        </w:div>
        <w:div w:id="1955012459">
          <w:marLeft w:val="0"/>
          <w:marRight w:val="0"/>
          <w:marTop w:val="0"/>
          <w:marBottom w:val="0"/>
          <w:divBdr>
            <w:top w:val="none" w:sz="0" w:space="0" w:color="auto"/>
            <w:left w:val="none" w:sz="0" w:space="0" w:color="auto"/>
            <w:bottom w:val="none" w:sz="0" w:space="0" w:color="auto"/>
            <w:right w:val="none" w:sz="0" w:space="0" w:color="auto"/>
          </w:divBdr>
        </w:div>
        <w:div w:id="1605579123">
          <w:marLeft w:val="0"/>
          <w:marRight w:val="0"/>
          <w:marTop w:val="0"/>
          <w:marBottom w:val="0"/>
          <w:divBdr>
            <w:top w:val="none" w:sz="0" w:space="0" w:color="auto"/>
            <w:left w:val="none" w:sz="0" w:space="0" w:color="auto"/>
            <w:bottom w:val="none" w:sz="0" w:space="0" w:color="auto"/>
            <w:right w:val="none" w:sz="0" w:space="0" w:color="auto"/>
          </w:divBdr>
        </w:div>
        <w:div w:id="332149291">
          <w:marLeft w:val="0"/>
          <w:marRight w:val="0"/>
          <w:marTop w:val="0"/>
          <w:marBottom w:val="0"/>
          <w:divBdr>
            <w:top w:val="none" w:sz="0" w:space="0" w:color="auto"/>
            <w:left w:val="none" w:sz="0" w:space="0" w:color="auto"/>
            <w:bottom w:val="none" w:sz="0" w:space="0" w:color="auto"/>
            <w:right w:val="none" w:sz="0" w:space="0" w:color="auto"/>
          </w:divBdr>
        </w:div>
        <w:div w:id="915633666">
          <w:marLeft w:val="0"/>
          <w:marRight w:val="0"/>
          <w:marTop w:val="0"/>
          <w:marBottom w:val="0"/>
          <w:divBdr>
            <w:top w:val="none" w:sz="0" w:space="0" w:color="auto"/>
            <w:left w:val="none" w:sz="0" w:space="0" w:color="auto"/>
            <w:bottom w:val="none" w:sz="0" w:space="0" w:color="auto"/>
            <w:right w:val="none" w:sz="0" w:space="0" w:color="auto"/>
          </w:divBdr>
        </w:div>
        <w:div w:id="1397973371">
          <w:marLeft w:val="0"/>
          <w:marRight w:val="0"/>
          <w:marTop w:val="0"/>
          <w:marBottom w:val="0"/>
          <w:divBdr>
            <w:top w:val="none" w:sz="0" w:space="0" w:color="auto"/>
            <w:left w:val="none" w:sz="0" w:space="0" w:color="auto"/>
            <w:bottom w:val="none" w:sz="0" w:space="0" w:color="auto"/>
            <w:right w:val="none" w:sz="0" w:space="0" w:color="auto"/>
          </w:divBdr>
        </w:div>
        <w:div w:id="1498380503">
          <w:marLeft w:val="0"/>
          <w:marRight w:val="0"/>
          <w:marTop w:val="0"/>
          <w:marBottom w:val="0"/>
          <w:divBdr>
            <w:top w:val="none" w:sz="0" w:space="0" w:color="auto"/>
            <w:left w:val="none" w:sz="0" w:space="0" w:color="auto"/>
            <w:bottom w:val="none" w:sz="0" w:space="0" w:color="auto"/>
            <w:right w:val="none" w:sz="0" w:space="0" w:color="auto"/>
          </w:divBdr>
        </w:div>
        <w:div w:id="1879194745">
          <w:marLeft w:val="0"/>
          <w:marRight w:val="0"/>
          <w:marTop w:val="0"/>
          <w:marBottom w:val="0"/>
          <w:divBdr>
            <w:top w:val="none" w:sz="0" w:space="0" w:color="auto"/>
            <w:left w:val="none" w:sz="0" w:space="0" w:color="auto"/>
            <w:bottom w:val="none" w:sz="0" w:space="0" w:color="auto"/>
            <w:right w:val="none" w:sz="0" w:space="0" w:color="auto"/>
          </w:divBdr>
        </w:div>
        <w:div w:id="87622050">
          <w:marLeft w:val="0"/>
          <w:marRight w:val="0"/>
          <w:marTop w:val="0"/>
          <w:marBottom w:val="0"/>
          <w:divBdr>
            <w:top w:val="none" w:sz="0" w:space="0" w:color="auto"/>
            <w:left w:val="none" w:sz="0" w:space="0" w:color="auto"/>
            <w:bottom w:val="none" w:sz="0" w:space="0" w:color="auto"/>
            <w:right w:val="none" w:sz="0" w:space="0" w:color="auto"/>
          </w:divBdr>
        </w:div>
        <w:div w:id="806315695">
          <w:marLeft w:val="0"/>
          <w:marRight w:val="0"/>
          <w:marTop w:val="0"/>
          <w:marBottom w:val="0"/>
          <w:divBdr>
            <w:top w:val="none" w:sz="0" w:space="0" w:color="auto"/>
            <w:left w:val="none" w:sz="0" w:space="0" w:color="auto"/>
            <w:bottom w:val="none" w:sz="0" w:space="0" w:color="auto"/>
            <w:right w:val="none" w:sz="0" w:space="0" w:color="auto"/>
          </w:divBdr>
        </w:div>
        <w:div w:id="1575507439">
          <w:marLeft w:val="0"/>
          <w:marRight w:val="0"/>
          <w:marTop w:val="0"/>
          <w:marBottom w:val="0"/>
          <w:divBdr>
            <w:top w:val="none" w:sz="0" w:space="0" w:color="auto"/>
            <w:left w:val="none" w:sz="0" w:space="0" w:color="auto"/>
            <w:bottom w:val="none" w:sz="0" w:space="0" w:color="auto"/>
            <w:right w:val="none" w:sz="0" w:space="0" w:color="auto"/>
          </w:divBdr>
        </w:div>
        <w:div w:id="1531799203">
          <w:marLeft w:val="0"/>
          <w:marRight w:val="0"/>
          <w:marTop w:val="0"/>
          <w:marBottom w:val="0"/>
          <w:divBdr>
            <w:top w:val="none" w:sz="0" w:space="0" w:color="auto"/>
            <w:left w:val="none" w:sz="0" w:space="0" w:color="auto"/>
            <w:bottom w:val="none" w:sz="0" w:space="0" w:color="auto"/>
            <w:right w:val="none" w:sz="0" w:space="0" w:color="auto"/>
          </w:divBdr>
        </w:div>
        <w:div w:id="363941265">
          <w:marLeft w:val="0"/>
          <w:marRight w:val="0"/>
          <w:marTop w:val="0"/>
          <w:marBottom w:val="0"/>
          <w:divBdr>
            <w:top w:val="none" w:sz="0" w:space="0" w:color="auto"/>
            <w:left w:val="none" w:sz="0" w:space="0" w:color="auto"/>
            <w:bottom w:val="none" w:sz="0" w:space="0" w:color="auto"/>
            <w:right w:val="none" w:sz="0" w:space="0" w:color="auto"/>
          </w:divBdr>
        </w:div>
        <w:div w:id="1532911690">
          <w:marLeft w:val="0"/>
          <w:marRight w:val="0"/>
          <w:marTop w:val="0"/>
          <w:marBottom w:val="0"/>
          <w:divBdr>
            <w:top w:val="none" w:sz="0" w:space="0" w:color="auto"/>
            <w:left w:val="none" w:sz="0" w:space="0" w:color="auto"/>
            <w:bottom w:val="none" w:sz="0" w:space="0" w:color="auto"/>
            <w:right w:val="none" w:sz="0" w:space="0" w:color="auto"/>
          </w:divBdr>
        </w:div>
        <w:div w:id="364134317">
          <w:marLeft w:val="0"/>
          <w:marRight w:val="0"/>
          <w:marTop w:val="0"/>
          <w:marBottom w:val="0"/>
          <w:divBdr>
            <w:top w:val="none" w:sz="0" w:space="0" w:color="auto"/>
            <w:left w:val="none" w:sz="0" w:space="0" w:color="auto"/>
            <w:bottom w:val="none" w:sz="0" w:space="0" w:color="auto"/>
            <w:right w:val="none" w:sz="0" w:space="0" w:color="auto"/>
          </w:divBdr>
        </w:div>
        <w:div w:id="1514757947">
          <w:marLeft w:val="0"/>
          <w:marRight w:val="0"/>
          <w:marTop w:val="0"/>
          <w:marBottom w:val="0"/>
          <w:divBdr>
            <w:top w:val="none" w:sz="0" w:space="0" w:color="auto"/>
            <w:left w:val="none" w:sz="0" w:space="0" w:color="auto"/>
            <w:bottom w:val="none" w:sz="0" w:space="0" w:color="auto"/>
            <w:right w:val="none" w:sz="0" w:space="0" w:color="auto"/>
          </w:divBdr>
        </w:div>
        <w:div w:id="149560370">
          <w:marLeft w:val="0"/>
          <w:marRight w:val="0"/>
          <w:marTop w:val="0"/>
          <w:marBottom w:val="0"/>
          <w:divBdr>
            <w:top w:val="none" w:sz="0" w:space="0" w:color="auto"/>
            <w:left w:val="none" w:sz="0" w:space="0" w:color="auto"/>
            <w:bottom w:val="none" w:sz="0" w:space="0" w:color="auto"/>
            <w:right w:val="none" w:sz="0" w:space="0" w:color="auto"/>
          </w:divBdr>
        </w:div>
        <w:div w:id="933440891">
          <w:marLeft w:val="0"/>
          <w:marRight w:val="0"/>
          <w:marTop w:val="0"/>
          <w:marBottom w:val="0"/>
          <w:divBdr>
            <w:top w:val="none" w:sz="0" w:space="0" w:color="auto"/>
            <w:left w:val="none" w:sz="0" w:space="0" w:color="auto"/>
            <w:bottom w:val="none" w:sz="0" w:space="0" w:color="auto"/>
            <w:right w:val="none" w:sz="0" w:space="0" w:color="auto"/>
          </w:divBdr>
        </w:div>
        <w:div w:id="1349679413">
          <w:marLeft w:val="0"/>
          <w:marRight w:val="0"/>
          <w:marTop w:val="0"/>
          <w:marBottom w:val="0"/>
          <w:divBdr>
            <w:top w:val="none" w:sz="0" w:space="0" w:color="auto"/>
            <w:left w:val="none" w:sz="0" w:space="0" w:color="auto"/>
            <w:bottom w:val="none" w:sz="0" w:space="0" w:color="auto"/>
            <w:right w:val="none" w:sz="0" w:space="0" w:color="auto"/>
          </w:divBdr>
        </w:div>
        <w:div w:id="131362892">
          <w:marLeft w:val="0"/>
          <w:marRight w:val="0"/>
          <w:marTop w:val="0"/>
          <w:marBottom w:val="0"/>
          <w:divBdr>
            <w:top w:val="none" w:sz="0" w:space="0" w:color="auto"/>
            <w:left w:val="none" w:sz="0" w:space="0" w:color="auto"/>
            <w:bottom w:val="none" w:sz="0" w:space="0" w:color="auto"/>
            <w:right w:val="none" w:sz="0" w:space="0" w:color="auto"/>
          </w:divBdr>
        </w:div>
        <w:div w:id="1243300653">
          <w:marLeft w:val="0"/>
          <w:marRight w:val="0"/>
          <w:marTop w:val="0"/>
          <w:marBottom w:val="0"/>
          <w:divBdr>
            <w:top w:val="none" w:sz="0" w:space="0" w:color="auto"/>
            <w:left w:val="none" w:sz="0" w:space="0" w:color="auto"/>
            <w:bottom w:val="none" w:sz="0" w:space="0" w:color="auto"/>
            <w:right w:val="none" w:sz="0" w:space="0" w:color="auto"/>
          </w:divBdr>
        </w:div>
        <w:div w:id="825516207">
          <w:marLeft w:val="0"/>
          <w:marRight w:val="0"/>
          <w:marTop w:val="0"/>
          <w:marBottom w:val="0"/>
          <w:divBdr>
            <w:top w:val="none" w:sz="0" w:space="0" w:color="auto"/>
            <w:left w:val="none" w:sz="0" w:space="0" w:color="auto"/>
            <w:bottom w:val="none" w:sz="0" w:space="0" w:color="auto"/>
            <w:right w:val="none" w:sz="0" w:space="0" w:color="auto"/>
          </w:divBdr>
        </w:div>
        <w:div w:id="1284995492">
          <w:marLeft w:val="0"/>
          <w:marRight w:val="0"/>
          <w:marTop w:val="0"/>
          <w:marBottom w:val="0"/>
          <w:divBdr>
            <w:top w:val="none" w:sz="0" w:space="0" w:color="auto"/>
            <w:left w:val="none" w:sz="0" w:space="0" w:color="auto"/>
            <w:bottom w:val="none" w:sz="0" w:space="0" w:color="auto"/>
            <w:right w:val="none" w:sz="0" w:space="0" w:color="auto"/>
          </w:divBdr>
        </w:div>
        <w:div w:id="912349260">
          <w:marLeft w:val="0"/>
          <w:marRight w:val="0"/>
          <w:marTop w:val="0"/>
          <w:marBottom w:val="0"/>
          <w:divBdr>
            <w:top w:val="none" w:sz="0" w:space="0" w:color="auto"/>
            <w:left w:val="none" w:sz="0" w:space="0" w:color="auto"/>
            <w:bottom w:val="none" w:sz="0" w:space="0" w:color="auto"/>
            <w:right w:val="none" w:sz="0" w:space="0" w:color="auto"/>
          </w:divBdr>
        </w:div>
        <w:div w:id="1971935679">
          <w:marLeft w:val="0"/>
          <w:marRight w:val="0"/>
          <w:marTop w:val="0"/>
          <w:marBottom w:val="0"/>
          <w:divBdr>
            <w:top w:val="none" w:sz="0" w:space="0" w:color="auto"/>
            <w:left w:val="none" w:sz="0" w:space="0" w:color="auto"/>
            <w:bottom w:val="none" w:sz="0" w:space="0" w:color="auto"/>
            <w:right w:val="none" w:sz="0" w:space="0" w:color="auto"/>
          </w:divBdr>
        </w:div>
        <w:div w:id="193613524">
          <w:marLeft w:val="0"/>
          <w:marRight w:val="0"/>
          <w:marTop w:val="0"/>
          <w:marBottom w:val="0"/>
          <w:divBdr>
            <w:top w:val="none" w:sz="0" w:space="0" w:color="auto"/>
            <w:left w:val="none" w:sz="0" w:space="0" w:color="auto"/>
            <w:bottom w:val="none" w:sz="0" w:space="0" w:color="auto"/>
            <w:right w:val="none" w:sz="0" w:space="0" w:color="auto"/>
          </w:divBdr>
        </w:div>
        <w:div w:id="976035974">
          <w:marLeft w:val="0"/>
          <w:marRight w:val="0"/>
          <w:marTop w:val="0"/>
          <w:marBottom w:val="0"/>
          <w:divBdr>
            <w:top w:val="none" w:sz="0" w:space="0" w:color="auto"/>
            <w:left w:val="none" w:sz="0" w:space="0" w:color="auto"/>
            <w:bottom w:val="none" w:sz="0" w:space="0" w:color="auto"/>
            <w:right w:val="none" w:sz="0" w:space="0" w:color="auto"/>
          </w:divBdr>
        </w:div>
        <w:div w:id="1000230582">
          <w:marLeft w:val="0"/>
          <w:marRight w:val="0"/>
          <w:marTop w:val="0"/>
          <w:marBottom w:val="0"/>
          <w:divBdr>
            <w:top w:val="none" w:sz="0" w:space="0" w:color="auto"/>
            <w:left w:val="none" w:sz="0" w:space="0" w:color="auto"/>
            <w:bottom w:val="none" w:sz="0" w:space="0" w:color="auto"/>
            <w:right w:val="none" w:sz="0" w:space="0" w:color="auto"/>
          </w:divBdr>
        </w:div>
        <w:div w:id="1225526840">
          <w:marLeft w:val="0"/>
          <w:marRight w:val="0"/>
          <w:marTop w:val="0"/>
          <w:marBottom w:val="0"/>
          <w:divBdr>
            <w:top w:val="none" w:sz="0" w:space="0" w:color="auto"/>
            <w:left w:val="none" w:sz="0" w:space="0" w:color="auto"/>
            <w:bottom w:val="none" w:sz="0" w:space="0" w:color="auto"/>
            <w:right w:val="none" w:sz="0" w:space="0" w:color="auto"/>
          </w:divBdr>
        </w:div>
        <w:div w:id="173112607">
          <w:marLeft w:val="0"/>
          <w:marRight w:val="0"/>
          <w:marTop w:val="0"/>
          <w:marBottom w:val="0"/>
          <w:divBdr>
            <w:top w:val="none" w:sz="0" w:space="0" w:color="auto"/>
            <w:left w:val="none" w:sz="0" w:space="0" w:color="auto"/>
            <w:bottom w:val="none" w:sz="0" w:space="0" w:color="auto"/>
            <w:right w:val="none" w:sz="0" w:space="0" w:color="auto"/>
          </w:divBdr>
        </w:div>
        <w:div w:id="1012801533">
          <w:marLeft w:val="0"/>
          <w:marRight w:val="0"/>
          <w:marTop w:val="0"/>
          <w:marBottom w:val="0"/>
          <w:divBdr>
            <w:top w:val="none" w:sz="0" w:space="0" w:color="auto"/>
            <w:left w:val="none" w:sz="0" w:space="0" w:color="auto"/>
            <w:bottom w:val="none" w:sz="0" w:space="0" w:color="auto"/>
            <w:right w:val="none" w:sz="0" w:space="0" w:color="auto"/>
          </w:divBdr>
        </w:div>
        <w:div w:id="977418231">
          <w:marLeft w:val="0"/>
          <w:marRight w:val="0"/>
          <w:marTop w:val="0"/>
          <w:marBottom w:val="0"/>
          <w:divBdr>
            <w:top w:val="none" w:sz="0" w:space="0" w:color="auto"/>
            <w:left w:val="none" w:sz="0" w:space="0" w:color="auto"/>
            <w:bottom w:val="none" w:sz="0" w:space="0" w:color="auto"/>
            <w:right w:val="none" w:sz="0" w:space="0" w:color="auto"/>
          </w:divBdr>
        </w:div>
        <w:div w:id="289436532">
          <w:marLeft w:val="0"/>
          <w:marRight w:val="0"/>
          <w:marTop w:val="0"/>
          <w:marBottom w:val="0"/>
          <w:divBdr>
            <w:top w:val="none" w:sz="0" w:space="0" w:color="auto"/>
            <w:left w:val="none" w:sz="0" w:space="0" w:color="auto"/>
            <w:bottom w:val="none" w:sz="0" w:space="0" w:color="auto"/>
            <w:right w:val="none" w:sz="0" w:space="0" w:color="auto"/>
          </w:divBdr>
        </w:div>
        <w:div w:id="1243756875">
          <w:marLeft w:val="0"/>
          <w:marRight w:val="0"/>
          <w:marTop w:val="0"/>
          <w:marBottom w:val="0"/>
          <w:divBdr>
            <w:top w:val="none" w:sz="0" w:space="0" w:color="auto"/>
            <w:left w:val="none" w:sz="0" w:space="0" w:color="auto"/>
            <w:bottom w:val="none" w:sz="0" w:space="0" w:color="auto"/>
            <w:right w:val="none" w:sz="0" w:space="0" w:color="auto"/>
          </w:divBdr>
        </w:div>
        <w:div w:id="470681254">
          <w:marLeft w:val="0"/>
          <w:marRight w:val="0"/>
          <w:marTop w:val="0"/>
          <w:marBottom w:val="0"/>
          <w:divBdr>
            <w:top w:val="none" w:sz="0" w:space="0" w:color="auto"/>
            <w:left w:val="none" w:sz="0" w:space="0" w:color="auto"/>
            <w:bottom w:val="none" w:sz="0" w:space="0" w:color="auto"/>
            <w:right w:val="none" w:sz="0" w:space="0" w:color="auto"/>
          </w:divBdr>
        </w:div>
        <w:div w:id="175732863">
          <w:marLeft w:val="0"/>
          <w:marRight w:val="0"/>
          <w:marTop w:val="0"/>
          <w:marBottom w:val="0"/>
          <w:divBdr>
            <w:top w:val="none" w:sz="0" w:space="0" w:color="auto"/>
            <w:left w:val="none" w:sz="0" w:space="0" w:color="auto"/>
            <w:bottom w:val="none" w:sz="0" w:space="0" w:color="auto"/>
            <w:right w:val="none" w:sz="0" w:space="0" w:color="auto"/>
          </w:divBdr>
        </w:div>
        <w:div w:id="1031615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intventure.org/publications/silicon-valley-index"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743</Words>
  <Characters>4239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Mallory Newell</dc:creator>
  <cp:keywords/>
  <dc:description/>
  <cp:lastModifiedBy>Microsoft Office User</cp:lastModifiedBy>
  <cp:revision>2</cp:revision>
  <dcterms:created xsi:type="dcterms:W3CDTF">2018-03-21T18:26:00Z</dcterms:created>
  <dcterms:modified xsi:type="dcterms:W3CDTF">2018-03-21T18:26:00Z</dcterms:modified>
</cp:coreProperties>
</file>