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A1E34" w14:textId="74210A9E" w:rsidR="00664CEE" w:rsidRPr="00A25647" w:rsidRDefault="00705F5C" w:rsidP="00A25647">
      <w:pPr>
        <w:pStyle w:val="Title"/>
        <w:jc w:val="center"/>
        <w:rPr>
          <w:rFonts w:asciiTheme="minorHAnsi" w:hAnsiTheme="minorHAnsi" w:cstheme="minorHAnsi"/>
        </w:rPr>
      </w:pPr>
      <w:r w:rsidRPr="00A25647">
        <w:rPr>
          <w:rFonts w:asciiTheme="minorHAnsi" w:hAnsiTheme="minorHAnsi" w:cstheme="minorHAnsi"/>
        </w:rPr>
        <w:t>2020-21 Year of Reflection</w:t>
      </w:r>
    </w:p>
    <w:p w14:paraId="32A1354D" w14:textId="58C5CC52" w:rsidR="00705F5C" w:rsidRDefault="00705F5C" w:rsidP="00A25647">
      <w:pPr>
        <w:pStyle w:val="Title"/>
        <w:jc w:val="center"/>
        <w:rPr>
          <w:rFonts w:asciiTheme="minorHAnsi" w:hAnsiTheme="minorHAnsi" w:cstheme="minorHAnsi"/>
        </w:rPr>
      </w:pPr>
      <w:r w:rsidRPr="00A25647">
        <w:rPr>
          <w:rFonts w:asciiTheme="minorHAnsi" w:hAnsiTheme="minorHAnsi" w:cstheme="minorHAnsi"/>
        </w:rPr>
        <w:t>Guiding Questions</w:t>
      </w:r>
    </w:p>
    <w:p w14:paraId="373C57D5" w14:textId="67B0A281" w:rsidR="00F91135" w:rsidRDefault="00F91135" w:rsidP="00F91135">
      <w:r w:rsidRPr="00151922">
        <w:rPr>
          <w:b/>
          <w:bCs/>
          <w:color w:val="806000" w:themeColor="accent4" w:themeShade="80"/>
          <w:sz w:val="28"/>
          <w:szCs w:val="28"/>
        </w:rPr>
        <w:t>Upload completed Word document to</w:t>
      </w:r>
      <w:r w:rsidRPr="00F91135">
        <w:rPr>
          <w:color w:val="806000" w:themeColor="accent4" w:themeShade="80"/>
        </w:rPr>
        <w:t xml:space="preserve"> </w:t>
      </w:r>
      <w:hyperlink r:id="rId5" w:history="1">
        <w:r w:rsidRPr="00B400D8">
          <w:rPr>
            <w:rStyle w:val="Hyperlink"/>
          </w:rPr>
          <w:t>https://foothilldeanza-my.sharepoint.com/:f:/g/personal/11248921_fhda_edu/EikvJdoEnEFGjUJoa3nWn_ABbmps9uH4nqgMEHOuhCREiQ?e=Ct4EaB</w:t>
        </w:r>
      </w:hyperlink>
    </w:p>
    <w:p w14:paraId="279ADED6" w14:textId="77777777" w:rsidR="00F91135" w:rsidRPr="00F91135" w:rsidRDefault="00F91135" w:rsidP="00F91135"/>
    <w:p w14:paraId="2311F307" w14:textId="77777777" w:rsidR="00705F5C" w:rsidRPr="001B558F" w:rsidRDefault="00705F5C" w:rsidP="00705F5C">
      <w:pPr>
        <w:rPr>
          <w:b/>
          <w:bCs/>
        </w:rPr>
      </w:pPr>
      <w:r w:rsidRPr="001B558F">
        <w:rPr>
          <w:b/>
          <w:bCs/>
        </w:rPr>
        <w:t xml:space="preserve">General Definitions </w:t>
      </w:r>
    </w:p>
    <w:p w14:paraId="02A527EB" w14:textId="77777777" w:rsidR="00705F5C" w:rsidRPr="001B558F" w:rsidRDefault="00705F5C" w:rsidP="00705F5C">
      <w:pPr>
        <w:pStyle w:val="ListParagraph"/>
        <w:numPr>
          <w:ilvl w:val="0"/>
          <w:numId w:val="1"/>
        </w:numPr>
      </w:pPr>
      <w:r w:rsidRPr="001B558F">
        <w:t xml:space="preserve">Student Success: </w:t>
      </w:r>
      <w:hyperlink r:id="rId6" w:history="1">
        <w:r w:rsidRPr="001B558F">
          <w:rPr>
            <w:rStyle w:val="Hyperlink"/>
          </w:rPr>
          <w:t>Six key factors of student success</w:t>
        </w:r>
      </w:hyperlink>
      <w:r w:rsidRPr="001B558F">
        <w:t xml:space="preserve"> are defined by the College as directed, focused, nurtured, engaged, connected, and valued.</w:t>
      </w:r>
    </w:p>
    <w:p w14:paraId="14F903B8" w14:textId="77777777" w:rsidR="00705F5C" w:rsidRPr="001B558F" w:rsidRDefault="00705F5C" w:rsidP="00705F5C">
      <w:pPr>
        <w:pStyle w:val="ListParagraph"/>
        <w:numPr>
          <w:ilvl w:val="0"/>
          <w:numId w:val="1"/>
        </w:numPr>
      </w:pPr>
      <w:r w:rsidRPr="001B558F">
        <w:t xml:space="preserve">Student Equity: “The condition under which individuals are provided the resources they need to have access to the same opportunities, as the general population. Equity accounts for systematic inequalities, meaning the distribution of resources provides more for those who need it most. Conversely equality indicates uniformity where everything is evenly distributed among people.” </w:t>
      </w:r>
      <w:hyperlink r:id="rId7" w:tgtFrame="_blank" w:history="1">
        <w:r>
          <w:rPr>
            <w:rStyle w:val="normaltextrun"/>
            <w:rFonts w:ascii="Calibri" w:hAnsi="Calibri" w:cs="Calibri"/>
            <w:color w:val="0000FF"/>
            <w:u w:val="single"/>
            <w:shd w:val="clear" w:color="auto" w:fill="FFFFFF"/>
          </w:rPr>
          <w:t>CCCCO Diversity, Equity, and Inclusion Glossary of Terms</w:t>
        </w:r>
      </w:hyperlink>
      <w:r w:rsidRPr="001B558F">
        <w:rPr>
          <w:rStyle w:val="eop"/>
          <w:rFonts w:ascii="Calibri" w:hAnsi="Calibri" w:cs="Calibri"/>
          <w:color w:val="000000"/>
          <w:shd w:val="clear" w:color="auto" w:fill="FFFFFF"/>
        </w:rPr>
        <w:t> </w:t>
      </w:r>
    </w:p>
    <w:p w14:paraId="38B56C8B" w14:textId="3A5A1F3C" w:rsidR="00705F5C" w:rsidRDefault="00705F5C" w:rsidP="00705F5C">
      <w:pPr>
        <w:pStyle w:val="ListParagraph"/>
        <w:numPr>
          <w:ilvl w:val="0"/>
          <w:numId w:val="1"/>
        </w:numPr>
      </w:pPr>
      <w:r w:rsidRPr="001B558F">
        <w:t>Being Equity-minded: “Is a schema that provides an alternative framework for understanding the causes of equity gaps in outcomes and the action needed to close them. Rather than attribute inequities in outcomes to student deficits, being equity-minded involves interpreting inequitable outcomes as a signal that practices are not working as intended. Inequities are eliminated through changes in institutional practices, policies, culture, and routines. Equity-mindedness encompasses being (l) race conscious, (2) institutionally focused, (3) evidence based, (4) systemically aware, and (5) action oriented</w:t>
      </w:r>
      <w:proofErr w:type="gramStart"/>
      <w:r w:rsidRPr="001B558F">
        <w:t>. ”</w:t>
      </w:r>
      <w:proofErr w:type="gramEnd"/>
      <w:r w:rsidRPr="001B558F">
        <w:t xml:space="preserve"> </w:t>
      </w:r>
      <w:r>
        <w:t xml:space="preserve"> </w:t>
      </w:r>
      <w:hyperlink r:id="rId8" w:tgtFrame="_blank" w:history="1">
        <w:r>
          <w:rPr>
            <w:rStyle w:val="normaltextrun"/>
            <w:rFonts w:ascii="Calibri" w:hAnsi="Calibri" w:cs="Calibri"/>
            <w:color w:val="0000FF"/>
            <w:u w:val="single"/>
            <w:shd w:val="clear" w:color="auto" w:fill="FFFFFF"/>
          </w:rPr>
          <w:t>CCCCO Diversity, Equity, and Inclusion Glossary of Terms</w:t>
        </w:r>
      </w:hyperlink>
    </w:p>
    <w:p w14:paraId="70E044BE" w14:textId="77777777" w:rsidR="00705F5C" w:rsidRDefault="00705F5C"/>
    <w:tbl>
      <w:tblPr>
        <w:tblStyle w:val="TableGrid"/>
        <w:tblW w:w="0" w:type="auto"/>
        <w:tblLook w:val="04A0" w:firstRow="1" w:lastRow="0" w:firstColumn="1" w:lastColumn="0" w:noHBand="0" w:noVBand="1"/>
      </w:tblPr>
      <w:tblGrid>
        <w:gridCol w:w="1795"/>
        <w:gridCol w:w="2790"/>
        <w:gridCol w:w="8365"/>
      </w:tblGrid>
      <w:tr w:rsidR="00705F5C" w:rsidRPr="00705F5C" w14:paraId="7A19E518" w14:textId="40A1B9EF" w:rsidTr="00705F5C">
        <w:tc>
          <w:tcPr>
            <w:tcW w:w="1795" w:type="dxa"/>
            <w:shd w:val="clear" w:color="auto" w:fill="auto"/>
          </w:tcPr>
          <w:p w14:paraId="79E8FC09" w14:textId="77777777" w:rsidR="00705F5C" w:rsidRPr="00705F5C" w:rsidRDefault="00705F5C" w:rsidP="00F47B91">
            <w:r w:rsidRPr="00705F5C">
              <w:t xml:space="preserve">Division: </w:t>
            </w:r>
          </w:p>
        </w:tc>
        <w:tc>
          <w:tcPr>
            <w:tcW w:w="11155" w:type="dxa"/>
            <w:gridSpan w:val="2"/>
            <w:shd w:val="clear" w:color="auto" w:fill="auto"/>
          </w:tcPr>
          <w:p w14:paraId="1766CAB0" w14:textId="77777777" w:rsidR="00705F5C" w:rsidRPr="00705F5C" w:rsidRDefault="00705F5C" w:rsidP="00F47B91"/>
        </w:tc>
      </w:tr>
      <w:tr w:rsidR="00705F5C" w14:paraId="3D80BC3E" w14:textId="5D7A72A4" w:rsidTr="00705F5C">
        <w:tc>
          <w:tcPr>
            <w:tcW w:w="1795" w:type="dxa"/>
            <w:shd w:val="clear" w:color="auto" w:fill="auto"/>
          </w:tcPr>
          <w:p w14:paraId="4E76C56D" w14:textId="77777777" w:rsidR="00705F5C" w:rsidRDefault="00705F5C" w:rsidP="00F47B91">
            <w:r w:rsidRPr="00705F5C">
              <w:t xml:space="preserve">Department: </w:t>
            </w:r>
          </w:p>
        </w:tc>
        <w:tc>
          <w:tcPr>
            <w:tcW w:w="11155" w:type="dxa"/>
            <w:gridSpan w:val="2"/>
            <w:shd w:val="clear" w:color="auto" w:fill="auto"/>
          </w:tcPr>
          <w:p w14:paraId="3D8CD9F7" w14:textId="77777777" w:rsidR="00705F5C" w:rsidRPr="00705F5C" w:rsidRDefault="00705F5C" w:rsidP="00F47B91"/>
        </w:tc>
      </w:tr>
      <w:tr w:rsidR="00982047" w14:paraId="7A40D9E1" w14:textId="77777777" w:rsidTr="00486627">
        <w:tc>
          <w:tcPr>
            <w:tcW w:w="12950" w:type="dxa"/>
            <w:gridSpan w:val="3"/>
          </w:tcPr>
          <w:p w14:paraId="1738D49A" w14:textId="0DE8E2EC" w:rsidR="00982047" w:rsidRPr="00705F5C" w:rsidRDefault="00982047" w:rsidP="00F47B91">
            <w:r>
              <w:rPr>
                <w:b/>
                <w:bCs/>
                <w:color w:val="C00000"/>
              </w:rPr>
              <w:t>I</w:t>
            </w:r>
            <w:r w:rsidRPr="758454DE">
              <w:rPr>
                <w:b/>
                <w:bCs/>
                <w:color w:val="C00000"/>
              </w:rPr>
              <w:t xml:space="preserve">. </w:t>
            </w:r>
            <w:r w:rsidR="002F5117" w:rsidRPr="758454DE">
              <w:rPr>
                <w:b/>
                <w:bCs/>
                <w:color w:val="C00000"/>
              </w:rPr>
              <w:t>FACTORS TO CONSIDER WHEN EXPLORING STUDENT SUCCESS AND EQUITY GAPS</w:t>
            </w:r>
          </w:p>
        </w:tc>
      </w:tr>
      <w:tr w:rsidR="00705F5C" w14:paraId="341CF60E" w14:textId="77777777" w:rsidTr="009A3D92">
        <w:tc>
          <w:tcPr>
            <w:tcW w:w="12950" w:type="dxa"/>
            <w:gridSpan w:val="3"/>
          </w:tcPr>
          <w:p w14:paraId="4D4633C5" w14:textId="77777777" w:rsidR="00705F5C" w:rsidRDefault="00705F5C" w:rsidP="00705F5C">
            <w:r>
              <w:t xml:space="preserve">A.  </w:t>
            </w:r>
            <w:r>
              <w:t>We recognize that students come to De Anza with varying skills, home/life situations and responsibilities and outside stressors* that impact their ability to be successful, including but not limited to:</w:t>
            </w:r>
            <w:r>
              <w:t xml:space="preserve"> </w:t>
            </w:r>
          </w:p>
          <w:p w14:paraId="7409B977" w14:textId="3681ADCA" w:rsidR="00705F5C" w:rsidRPr="00705F5C" w:rsidRDefault="00705F5C" w:rsidP="00F47B91">
            <w:pPr>
              <w:pStyle w:val="ListParagraph"/>
              <w:numPr>
                <w:ilvl w:val="1"/>
                <w:numId w:val="2"/>
              </w:numPr>
              <w:rPr>
                <w:color w:val="000000" w:themeColor="text1"/>
              </w:rPr>
            </w:pPr>
            <w:r w:rsidRPr="00281F4F">
              <w:rPr>
                <w:color w:val="000000" w:themeColor="text1"/>
              </w:rPr>
              <w:t>We know there is inequality in the Bay Area in "school quality/resources" and "quality of preparation" for students AND that students from underserved communities attend those under-resourced schools.</w:t>
            </w:r>
          </w:p>
        </w:tc>
      </w:tr>
      <w:tr w:rsidR="00705F5C" w14:paraId="5056C274" w14:textId="77777777" w:rsidTr="00982047">
        <w:tc>
          <w:tcPr>
            <w:tcW w:w="4585" w:type="dxa"/>
            <w:gridSpan w:val="2"/>
          </w:tcPr>
          <w:p w14:paraId="5A5EF78B" w14:textId="628DDBA3" w:rsidR="00705F5C" w:rsidRPr="00705F5C" w:rsidRDefault="00705F5C" w:rsidP="00705F5C">
            <w:pPr>
              <w:rPr>
                <w:color w:val="000000" w:themeColor="text1"/>
              </w:rPr>
            </w:pPr>
            <w:r w:rsidRPr="00705F5C">
              <w:rPr>
                <w:b/>
                <w:bCs/>
                <w:color w:val="C00000"/>
              </w:rPr>
              <w:lastRenderedPageBreak/>
              <w:t xml:space="preserve">Reflection: </w:t>
            </w:r>
            <w:r>
              <w:t xml:space="preserve"> W</w:t>
            </w:r>
            <w:r>
              <w:t>hat do we do in those situations</w:t>
            </w:r>
            <w:r w:rsidRPr="00705F5C">
              <w:rPr>
                <w:color w:val="000000" w:themeColor="text1"/>
              </w:rPr>
              <w:t>? How do we empower the institution to address these inequities?</w:t>
            </w:r>
          </w:p>
          <w:p w14:paraId="45935A82" w14:textId="084B69A3" w:rsidR="00705F5C" w:rsidRPr="00705F5C" w:rsidRDefault="00705F5C" w:rsidP="00705F5C">
            <w:pPr>
              <w:ind w:left="1440"/>
              <w:jc w:val="both"/>
              <w:rPr>
                <w:b/>
                <w:bCs/>
                <w:color w:val="C00000"/>
              </w:rPr>
            </w:pPr>
          </w:p>
        </w:tc>
        <w:tc>
          <w:tcPr>
            <w:tcW w:w="8365" w:type="dxa"/>
          </w:tcPr>
          <w:p w14:paraId="4103F83B" w14:textId="0DC25821" w:rsidR="00705F5C" w:rsidRPr="00982047" w:rsidRDefault="00982047" w:rsidP="00F47B91">
            <w:r w:rsidRPr="00982047">
              <w:rPr>
                <w:i/>
                <w:iCs/>
              </w:rPr>
              <w:t>Your department’s/area’s response</w:t>
            </w:r>
            <w:r>
              <w:t xml:space="preserve"> </w:t>
            </w:r>
          </w:p>
        </w:tc>
      </w:tr>
      <w:tr w:rsidR="00982047" w14:paraId="480E4046" w14:textId="77777777" w:rsidTr="00982047">
        <w:tc>
          <w:tcPr>
            <w:tcW w:w="12950" w:type="dxa"/>
            <w:gridSpan w:val="3"/>
            <w:shd w:val="clear" w:color="auto" w:fill="D9D9D9" w:themeFill="background1" w:themeFillShade="D9"/>
          </w:tcPr>
          <w:p w14:paraId="04478D8E" w14:textId="77777777" w:rsidR="00982047" w:rsidRDefault="00982047" w:rsidP="00982047"/>
        </w:tc>
      </w:tr>
      <w:tr w:rsidR="00982047" w14:paraId="50BDEA53" w14:textId="77777777" w:rsidTr="00D20D67">
        <w:tc>
          <w:tcPr>
            <w:tcW w:w="12950" w:type="dxa"/>
            <w:gridSpan w:val="3"/>
          </w:tcPr>
          <w:p w14:paraId="5813E2F2" w14:textId="77777777" w:rsidR="00982047" w:rsidRDefault="00982047" w:rsidP="00982047">
            <w:r>
              <w:t xml:space="preserve">B. </w:t>
            </w:r>
            <w:r>
              <w:t xml:space="preserve">Dynamics of engagement </w:t>
            </w:r>
            <w:r w:rsidRPr="0054603B">
              <w:t>(</w:t>
            </w:r>
            <w:r w:rsidRPr="00982047">
              <w:rPr>
                <w:color w:val="000000" w:themeColor="text1"/>
              </w:rPr>
              <w:t>bias, stereotype threat (macroaggressions and microaggressions), imposter syndrome, racial battle fatigue</w:t>
            </w:r>
            <w:r w:rsidRPr="0054603B">
              <w:t>) t</w:t>
            </w:r>
            <w:r>
              <w:t>hat happen in the classroom:</w:t>
            </w:r>
          </w:p>
          <w:p w14:paraId="22BD3C45" w14:textId="513686A4" w:rsidR="00982047" w:rsidRPr="00705F5C" w:rsidRDefault="00982047" w:rsidP="00F47B91">
            <w:pPr>
              <w:pStyle w:val="ListParagraph"/>
              <w:numPr>
                <w:ilvl w:val="1"/>
                <w:numId w:val="2"/>
              </w:numPr>
            </w:pPr>
            <w:r>
              <w:t>We know students learn better when they have a sense of belonging in the classroom and on campus, when they have the opportunity to connect with fellow students and faculty, and when their interest is sparked by the curriculum, content and teaching manner.</w:t>
            </w:r>
          </w:p>
        </w:tc>
      </w:tr>
      <w:tr w:rsidR="00705F5C" w14:paraId="2CDCCC7C" w14:textId="77777777" w:rsidTr="00982047">
        <w:tc>
          <w:tcPr>
            <w:tcW w:w="4585" w:type="dxa"/>
            <w:gridSpan w:val="2"/>
          </w:tcPr>
          <w:p w14:paraId="09B73182" w14:textId="0F1D21F2" w:rsidR="00705F5C" w:rsidRDefault="00982047" w:rsidP="00A25647">
            <w:pPr>
              <w:rPr>
                <w:b/>
                <w:bCs/>
                <w:color w:val="C00000"/>
              </w:rPr>
            </w:pPr>
            <w:r w:rsidRPr="00705F5C">
              <w:rPr>
                <w:b/>
                <w:bCs/>
                <w:color w:val="C00000"/>
              </w:rPr>
              <w:t>Reflection:</w:t>
            </w:r>
            <w:r>
              <w:rPr>
                <w:b/>
                <w:bCs/>
                <w:color w:val="C00000"/>
              </w:rPr>
              <w:t xml:space="preserve"> </w:t>
            </w:r>
            <w:r w:rsidRPr="00982047">
              <w:rPr>
                <w:color w:val="000000" w:themeColor="text1"/>
              </w:rPr>
              <w:t>Ho</w:t>
            </w:r>
            <w:r>
              <w:t xml:space="preserve">w can we create opportunities for engagement? </w:t>
            </w:r>
            <w:r>
              <w:rPr>
                <w:color w:val="0D0D0D" w:themeColor="text1" w:themeTint="F2"/>
              </w:rPr>
              <w:t>What culturally responsive teaching strategies do I use? What culturally responsive counseling/helping strategies do I utilize?</w:t>
            </w:r>
          </w:p>
        </w:tc>
        <w:tc>
          <w:tcPr>
            <w:tcW w:w="8365" w:type="dxa"/>
          </w:tcPr>
          <w:p w14:paraId="53F30392" w14:textId="3AEA4EE9" w:rsidR="00705F5C" w:rsidRPr="00982047" w:rsidRDefault="00982047" w:rsidP="00F47B91">
            <w:r w:rsidRPr="00982047">
              <w:rPr>
                <w:i/>
                <w:iCs/>
              </w:rPr>
              <w:t>Your department’s/area’s response</w:t>
            </w:r>
            <w:r>
              <w:t xml:space="preserve"> </w:t>
            </w:r>
          </w:p>
        </w:tc>
      </w:tr>
      <w:tr w:rsidR="002F5117" w14:paraId="7B16AD0A" w14:textId="77777777" w:rsidTr="002F5117">
        <w:tc>
          <w:tcPr>
            <w:tcW w:w="12950" w:type="dxa"/>
            <w:gridSpan w:val="3"/>
            <w:shd w:val="clear" w:color="auto" w:fill="D9D9D9" w:themeFill="background1" w:themeFillShade="D9"/>
          </w:tcPr>
          <w:p w14:paraId="00709BD3" w14:textId="77777777" w:rsidR="002F5117" w:rsidRPr="00705F5C" w:rsidRDefault="002F5117" w:rsidP="00F47B91"/>
        </w:tc>
      </w:tr>
      <w:tr w:rsidR="003355BE" w14:paraId="4BC97A1C" w14:textId="77777777" w:rsidTr="00B96A0A">
        <w:tc>
          <w:tcPr>
            <w:tcW w:w="12950" w:type="dxa"/>
            <w:gridSpan w:val="3"/>
          </w:tcPr>
          <w:p w14:paraId="5C4882B5" w14:textId="2785AE45" w:rsidR="003355BE" w:rsidRDefault="003355BE" w:rsidP="003355BE">
            <w:r>
              <w:t xml:space="preserve">C. </w:t>
            </w:r>
            <w:r>
              <w:t>Outside stressors* on the student that affect their ability to stay focused in the class and the ability to finish the class:</w:t>
            </w:r>
          </w:p>
          <w:p w14:paraId="67CA025C" w14:textId="10499DCE" w:rsidR="003355BE" w:rsidRPr="00705F5C" w:rsidRDefault="003355BE" w:rsidP="00F47B91">
            <w:pPr>
              <w:pStyle w:val="ListParagraph"/>
              <w:numPr>
                <w:ilvl w:val="1"/>
                <w:numId w:val="2"/>
              </w:numPr>
            </w:pPr>
            <w:r>
              <w:t>We know students learn better when they are able to focus on their coursework rather than outside obligations including financial, family, work, and personal obligations.</w:t>
            </w:r>
          </w:p>
        </w:tc>
      </w:tr>
      <w:tr w:rsidR="003355BE" w14:paraId="72E2C8B3" w14:textId="77777777" w:rsidTr="00982047">
        <w:tc>
          <w:tcPr>
            <w:tcW w:w="4585" w:type="dxa"/>
            <w:gridSpan w:val="2"/>
          </w:tcPr>
          <w:p w14:paraId="79CD9C4F" w14:textId="3C0C7761" w:rsidR="003355BE" w:rsidRPr="003355BE" w:rsidRDefault="003355BE" w:rsidP="003355BE">
            <w:r w:rsidRPr="003355BE">
              <w:rPr>
                <w:b/>
                <w:bCs/>
                <w:color w:val="C00000"/>
              </w:rPr>
              <w:t>Reflection:</w:t>
            </w:r>
            <w:r w:rsidRPr="003355BE">
              <w:rPr>
                <w:b/>
                <w:bCs/>
                <w:color w:val="C00000"/>
              </w:rPr>
              <w:t xml:space="preserve"> </w:t>
            </w:r>
            <w:r>
              <w:t xml:space="preserve">How can we reduce the stressors* students face to help them stay focused? </w:t>
            </w:r>
          </w:p>
        </w:tc>
        <w:tc>
          <w:tcPr>
            <w:tcW w:w="8365" w:type="dxa"/>
          </w:tcPr>
          <w:p w14:paraId="5FF270EB" w14:textId="7F48E20D" w:rsidR="003355BE" w:rsidRPr="003355BE" w:rsidRDefault="003355BE" w:rsidP="00F47B91">
            <w:r>
              <w:rPr>
                <w:i/>
                <w:iCs/>
              </w:rPr>
              <w:t>Your department’s/area’s response</w:t>
            </w:r>
            <w:r>
              <w:t xml:space="preserve"> </w:t>
            </w:r>
          </w:p>
        </w:tc>
      </w:tr>
      <w:tr w:rsidR="002F5117" w14:paraId="18230B43" w14:textId="77777777" w:rsidTr="002F5117">
        <w:tc>
          <w:tcPr>
            <w:tcW w:w="12950" w:type="dxa"/>
            <w:gridSpan w:val="3"/>
            <w:shd w:val="clear" w:color="auto" w:fill="D9D9D9" w:themeFill="background1" w:themeFillShade="D9"/>
          </w:tcPr>
          <w:p w14:paraId="6C51C5ED" w14:textId="77777777" w:rsidR="002F5117" w:rsidRPr="00705F5C" w:rsidRDefault="002F5117" w:rsidP="00F47B91"/>
        </w:tc>
      </w:tr>
      <w:tr w:rsidR="003355BE" w14:paraId="21EB0B33" w14:textId="77777777" w:rsidTr="00DD0052">
        <w:tc>
          <w:tcPr>
            <w:tcW w:w="12950" w:type="dxa"/>
            <w:gridSpan w:val="3"/>
          </w:tcPr>
          <w:p w14:paraId="05C64253" w14:textId="50630850" w:rsidR="003355BE" w:rsidRPr="002F5117" w:rsidRDefault="002F5117" w:rsidP="00F47B91">
            <w:pPr>
              <w:rPr>
                <w:b/>
                <w:bCs/>
              </w:rPr>
            </w:pPr>
            <w:r w:rsidRPr="002F5117">
              <w:rPr>
                <w:b/>
                <w:bCs/>
                <w:color w:val="C00000"/>
              </w:rPr>
              <w:t xml:space="preserve">II. INSTRUCTIONAL AREAS: EXPLORING STUDENT SUCCESS AND EQUITY GAPS </w:t>
            </w:r>
          </w:p>
        </w:tc>
      </w:tr>
      <w:tr w:rsidR="002F5117" w14:paraId="5FF25425" w14:textId="77777777" w:rsidTr="00C05568">
        <w:tc>
          <w:tcPr>
            <w:tcW w:w="12950" w:type="dxa"/>
            <w:gridSpan w:val="3"/>
          </w:tcPr>
          <w:p w14:paraId="2844515E" w14:textId="7D060734" w:rsidR="002F5117" w:rsidRPr="00705F5C" w:rsidRDefault="002F5117" w:rsidP="00F47B91">
            <w:r w:rsidRPr="002F5117">
              <w:rPr>
                <w:color w:val="000000" w:themeColor="text1"/>
              </w:rPr>
              <w:t>A.</w:t>
            </w:r>
            <w:r>
              <w:rPr>
                <w:color w:val="000000" w:themeColor="text1"/>
              </w:rPr>
              <w:t xml:space="preserve"> </w:t>
            </w:r>
            <w:r w:rsidR="00A25647" w:rsidRPr="00A25647">
              <w:rPr>
                <w:color w:val="000000" w:themeColor="text1"/>
              </w:rPr>
              <w:t xml:space="preserve">Find your departments success and equity gaps: </w:t>
            </w:r>
            <w:hyperlink r:id="rId9">
              <w:r w:rsidR="00727CCB" w:rsidRPr="758454DE">
                <w:rPr>
                  <w:rStyle w:val="Hyperlink"/>
                </w:rPr>
                <w:t>Student Success Dashboards (deanza.edu)</w:t>
              </w:r>
            </w:hyperlink>
          </w:p>
        </w:tc>
      </w:tr>
      <w:tr w:rsidR="003355BE" w14:paraId="2D1F6A29" w14:textId="77777777" w:rsidTr="00982047">
        <w:tc>
          <w:tcPr>
            <w:tcW w:w="4585" w:type="dxa"/>
            <w:gridSpan w:val="2"/>
          </w:tcPr>
          <w:p w14:paraId="09E8BCB2" w14:textId="4A75A4C3" w:rsidR="002F5117" w:rsidRDefault="002F5117" w:rsidP="00A25647">
            <w:pPr>
              <w:rPr>
                <w:b/>
                <w:bCs/>
                <w:color w:val="C00000"/>
              </w:rPr>
            </w:pPr>
            <w:r>
              <w:rPr>
                <w:b/>
                <w:bCs/>
                <w:color w:val="C00000"/>
              </w:rPr>
              <w:t>Reflection:</w:t>
            </w:r>
            <w:r>
              <w:rPr>
                <w:b/>
                <w:bCs/>
                <w:color w:val="C00000"/>
              </w:rPr>
              <w:t xml:space="preserve"> </w:t>
            </w:r>
            <w:r w:rsidR="00A25647" w:rsidRPr="00A25647">
              <w:rPr>
                <w:color w:val="000000" w:themeColor="text1"/>
              </w:rPr>
              <w:t>W</w:t>
            </w:r>
            <w:r w:rsidR="00A25647" w:rsidRPr="00A25647">
              <w:t>hat are the gaps for your department?</w:t>
            </w:r>
          </w:p>
        </w:tc>
        <w:tc>
          <w:tcPr>
            <w:tcW w:w="8365" w:type="dxa"/>
          </w:tcPr>
          <w:p w14:paraId="409B9E94" w14:textId="3D119ECF" w:rsidR="003355BE" w:rsidRPr="002F5117" w:rsidRDefault="002F5117" w:rsidP="00F47B91">
            <w:r>
              <w:rPr>
                <w:i/>
                <w:iCs/>
              </w:rPr>
              <w:t>Your department’s/area’s response</w:t>
            </w:r>
            <w:r>
              <w:t xml:space="preserve"> </w:t>
            </w:r>
          </w:p>
        </w:tc>
      </w:tr>
      <w:tr w:rsidR="002F5117" w14:paraId="13003E42" w14:textId="77777777" w:rsidTr="00AC328E">
        <w:tc>
          <w:tcPr>
            <w:tcW w:w="12950" w:type="dxa"/>
            <w:gridSpan w:val="3"/>
          </w:tcPr>
          <w:p w14:paraId="6F3302D3" w14:textId="29436FDB" w:rsidR="002F5117" w:rsidRPr="00705F5C" w:rsidRDefault="002F5117" w:rsidP="00F47B91">
            <w:r w:rsidRPr="002F5117">
              <w:rPr>
                <w:color w:val="000000" w:themeColor="text1"/>
              </w:rPr>
              <w:t>B.</w:t>
            </w:r>
            <w:r w:rsidR="00A25647">
              <w:rPr>
                <w:color w:val="000000" w:themeColor="text1"/>
              </w:rPr>
              <w:t xml:space="preserve"> </w:t>
            </w:r>
            <w:r w:rsidR="00A25647" w:rsidRPr="00A25647">
              <w:rPr>
                <w:color w:val="000000" w:themeColor="text1"/>
              </w:rPr>
              <w:t xml:space="preserve">Find your individual success rates: </w:t>
            </w:r>
            <w:hyperlink r:id="rId10">
              <w:r w:rsidR="00727CCB" w:rsidRPr="758454DE">
                <w:rPr>
                  <w:rStyle w:val="Hyperlink"/>
                </w:rPr>
                <w:t>How to use the Inquiry Tool (deanza.edu)</w:t>
              </w:r>
            </w:hyperlink>
            <w:r w:rsidR="00727CCB" w:rsidRPr="00A25647">
              <w:rPr>
                <w:color w:val="000000" w:themeColor="text1"/>
              </w:rPr>
              <w:t xml:space="preserve"> </w:t>
            </w:r>
          </w:p>
        </w:tc>
      </w:tr>
      <w:tr w:rsidR="002F5117" w14:paraId="6E2640AB" w14:textId="77777777" w:rsidTr="00982047">
        <w:tc>
          <w:tcPr>
            <w:tcW w:w="4585" w:type="dxa"/>
            <w:gridSpan w:val="2"/>
          </w:tcPr>
          <w:p w14:paraId="4FFA43F7" w14:textId="23074B8B" w:rsidR="002F5117" w:rsidRPr="00727CCB" w:rsidRDefault="002F5117" w:rsidP="00727CCB">
            <w:pPr>
              <w:jc w:val="both"/>
            </w:pPr>
            <w:r w:rsidRPr="00727CCB">
              <w:rPr>
                <w:b/>
                <w:bCs/>
                <w:color w:val="C00000"/>
              </w:rPr>
              <w:t>Reflection:</w:t>
            </w:r>
            <w:r w:rsidR="00727CCB" w:rsidRPr="00727CCB">
              <w:rPr>
                <w:b/>
                <w:bCs/>
                <w:color w:val="C00000"/>
              </w:rPr>
              <w:t xml:space="preserve"> </w:t>
            </w:r>
            <w:r w:rsidR="00727CCB" w:rsidRPr="0054603B">
              <w:t xml:space="preserve">Those faculty with </w:t>
            </w:r>
            <w:r w:rsidR="00727CCB">
              <w:t>equity gaps</w:t>
            </w:r>
            <w:r w:rsidR="00727CCB" w:rsidRPr="0054603B">
              <w:t xml:space="preserve"> lower than the department’s average could be a model. Ask what are they doing to close that success gap? </w:t>
            </w:r>
          </w:p>
        </w:tc>
        <w:tc>
          <w:tcPr>
            <w:tcW w:w="8365" w:type="dxa"/>
          </w:tcPr>
          <w:p w14:paraId="4F0E2ECD" w14:textId="4EB54E6D" w:rsidR="002F5117" w:rsidRPr="002F5117" w:rsidRDefault="00A25647" w:rsidP="00F47B91">
            <w:r>
              <w:rPr>
                <w:i/>
                <w:iCs/>
              </w:rPr>
              <w:t>What ideas did you collect from others?</w:t>
            </w:r>
            <w:r>
              <w:t xml:space="preserve"> </w:t>
            </w:r>
            <w:r w:rsidR="002F5117">
              <w:t xml:space="preserve"> </w:t>
            </w:r>
          </w:p>
        </w:tc>
      </w:tr>
      <w:tr w:rsidR="002F5117" w14:paraId="60B4FE4D" w14:textId="77777777" w:rsidTr="00F22176">
        <w:tc>
          <w:tcPr>
            <w:tcW w:w="12950" w:type="dxa"/>
            <w:gridSpan w:val="3"/>
          </w:tcPr>
          <w:p w14:paraId="732B56FC" w14:textId="41576F82" w:rsidR="002F5117" w:rsidRPr="00705F5C" w:rsidRDefault="002F5117" w:rsidP="00F47B91">
            <w:r>
              <w:rPr>
                <w:color w:val="000000" w:themeColor="text1"/>
              </w:rPr>
              <w:t>C</w:t>
            </w:r>
            <w:r w:rsidRPr="002F5117">
              <w:rPr>
                <w:color w:val="000000" w:themeColor="text1"/>
              </w:rPr>
              <w:t>.</w:t>
            </w:r>
            <w:r w:rsidR="00A25647">
              <w:t xml:space="preserve"> </w:t>
            </w:r>
            <w:r w:rsidR="00727CCB" w:rsidRPr="00727CCB">
              <w:rPr>
                <w:color w:val="000000" w:themeColor="text1"/>
              </w:rPr>
              <w:t xml:space="preserve">As a department or as an individual, discuss factors that could lead to increased success. </w:t>
            </w:r>
          </w:p>
        </w:tc>
      </w:tr>
      <w:tr w:rsidR="002F5117" w14:paraId="46F86594" w14:textId="77777777" w:rsidTr="00982047">
        <w:tc>
          <w:tcPr>
            <w:tcW w:w="4585" w:type="dxa"/>
            <w:gridSpan w:val="2"/>
          </w:tcPr>
          <w:p w14:paraId="72C3C7C2" w14:textId="2AD52FCA" w:rsidR="002F5117" w:rsidRDefault="002F5117" w:rsidP="00705F5C">
            <w:pPr>
              <w:jc w:val="both"/>
              <w:rPr>
                <w:b/>
                <w:bCs/>
                <w:color w:val="C00000"/>
              </w:rPr>
            </w:pPr>
            <w:r>
              <w:rPr>
                <w:b/>
                <w:bCs/>
                <w:color w:val="C00000"/>
              </w:rPr>
              <w:t>Reflection:</w:t>
            </w:r>
            <w:r w:rsidR="00A25647">
              <w:rPr>
                <w:b/>
                <w:bCs/>
                <w:color w:val="C00000"/>
              </w:rPr>
              <w:t xml:space="preserve"> </w:t>
            </w:r>
            <w:r w:rsidR="00727CCB" w:rsidRPr="00727CCB">
              <w:rPr>
                <w:color w:val="000000" w:themeColor="text1"/>
              </w:rPr>
              <w:t>Consider the following</w:t>
            </w:r>
            <w:r w:rsidR="00727CCB">
              <w:rPr>
                <w:color w:val="000000" w:themeColor="text1"/>
              </w:rPr>
              <w:t>~</w:t>
            </w:r>
          </w:p>
          <w:p w14:paraId="4F802E29" w14:textId="77777777" w:rsidR="00A25647" w:rsidRPr="00A25647" w:rsidRDefault="00A25647" w:rsidP="00A25647">
            <w:pPr>
              <w:pStyle w:val="ListParagraph"/>
              <w:numPr>
                <w:ilvl w:val="0"/>
                <w:numId w:val="5"/>
              </w:numPr>
              <w:ind w:left="342" w:hanging="180"/>
              <w:jc w:val="both"/>
              <w:rPr>
                <w:color w:val="000000" w:themeColor="text1"/>
              </w:rPr>
            </w:pPr>
            <w:r w:rsidRPr="00A25647">
              <w:rPr>
                <w:color w:val="000000" w:themeColor="text1"/>
              </w:rPr>
              <w:lastRenderedPageBreak/>
              <w:t xml:space="preserve">How do you address the different academic skills that students bring to class? </w:t>
            </w:r>
          </w:p>
          <w:p w14:paraId="543BD3FA" w14:textId="0377CA3E" w:rsidR="00A25647" w:rsidRPr="00A25647" w:rsidRDefault="00A25647" w:rsidP="00A25647">
            <w:pPr>
              <w:pStyle w:val="ListParagraph"/>
              <w:numPr>
                <w:ilvl w:val="0"/>
                <w:numId w:val="5"/>
              </w:numPr>
              <w:ind w:left="342" w:hanging="180"/>
              <w:jc w:val="both"/>
              <w:rPr>
                <w:color w:val="000000" w:themeColor="text1"/>
              </w:rPr>
            </w:pPr>
            <w:r w:rsidRPr="00A25647">
              <w:rPr>
                <w:color w:val="000000" w:themeColor="text1"/>
              </w:rPr>
              <w:t>H</w:t>
            </w:r>
            <w:r w:rsidRPr="00A25647">
              <w:rPr>
                <w:color w:val="000000" w:themeColor="text1"/>
              </w:rPr>
              <w:t xml:space="preserve">ow do you teach in a way that invites active interest and participation by all students? </w:t>
            </w:r>
          </w:p>
          <w:p w14:paraId="163FED79" w14:textId="2297F316" w:rsidR="00A25647" w:rsidRPr="00A25647" w:rsidRDefault="00A25647" w:rsidP="00A25647">
            <w:pPr>
              <w:pStyle w:val="ListParagraph"/>
              <w:numPr>
                <w:ilvl w:val="0"/>
                <w:numId w:val="5"/>
              </w:numPr>
              <w:ind w:left="342" w:hanging="180"/>
              <w:jc w:val="both"/>
              <w:rPr>
                <w:color w:val="000000" w:themeColor="text1"/>
              </w:rPr>
            </w:pPr>
            <w:r w:rsidRPr="00A25647">
              <w:rPr>
                <w:color w:val="000000" w:themeColor="text1"/>
              </w:rPr>
              <w:t>H</w:t>
            </w:r>
            <w:r w:rsidRPr="00A25647">
              <w:rPr>
                <w:color w:val="000000" w:themeColor="text1"/>
              </w:rPr>
              <w:t>ow do you structure the class so students with different outside stressors* are able to participate on equal footing?</w:t>
            </w:r>
          </w:p>
          <w:p w14:paraId="6AE444E9" w14:textId="0653AEB7" w:rsidR="00A25647" w:rsidRPr="00A25647" w:rsidRDefault="00A25647" w:rsidP="00A25647">
            <w:pPr>
              <w:pStyle w:val="ListParagraph"/>
              <w:numPr>
                <w:ilvl w:val="0"/>
                <w:numId w:val="5"/>
              </w:numPr>
              <w:ind w:left="342" w:hanging="180"/>
              <w:jc w:val="both"/>
              <w:rPr>
                <w:color w:val="000000" w:themeColor="text1"/>
              </w:rPr>
            </w:pPr>
            <w:r w:rsidRPr="00A25647">
              <w:rPr>
                <w:color w:val="000000" w:themeColor="text1"/>
              </w:rPr>
              <w:t>W</w:t>
            </w:r>
            <w:r w:rsidRPr="00A25647">
              <w:rPr>
                <w:color w:val="000000" w:themeColor="text1"/>
              </w:rPr>
              <w:t>hat services, including services to meet students’ basic needs, could be harnessed to address success?</w:t>
            </w:r>
          </w:p>
        </w:tc>
        <w:tc>
          <w:tcPr>
            <w:tcW w:w="8365" w:type="dxa"/>
          </w:tcPr>
          <w:p w14:paraId="523499AD" w14:textId="150DAF6F" w:rsidR="002F5117" w:rsidRPr="002F5117" w:rsidRDefault="002F5117" w:rsidP="00F47B91">
            <w:r>
              <w:rPr>
                <w:i/>
                <w:iCs/>
              </w:rPr>
              <w:lastRenderedPageBreak/>
              <w:t>Your department’s/area’s response</w:t>
            </w:r>
            <w:r>
              <w:t xml:space="preserve"> </w:t>
            </w:r>
          </w:p>
        </w:tc>
      </w:tr>
      <w:tr w:rsidR="002F5117" w14:paraId="3E3CF58C" w14:textId="77777777" w:rsidTr="00D97210">
        <w:tc>
          <w:tcPr>
            <w:tcW w:w="12950" w:type="dxa"/>
            <w:gridSpan w:val="3"/>
          </w:tcPr>
          <w:p w14:paraId="5B9A019E" w14:textId="2F51BEE1" w:rsidR="002F5117" w:rsidRDefault="002F5117" w:rsidP="002F5117">
            <w:pPr>
              <w:rPr>
                <w:i/>
                <w:iCs/>
              </w:rPr>
            </w:pPr>
            <w:r>
              <w:rPr>
                <w:color w:val="000000" w:themeColor="text1"/>
              </w:rPr>
              <w:t>D</w:t>
            </w:r>
            <w:r w:rsidRPr="002F5117">
              <w:rPr>
                <w:color w:val="000000" w:themeColor="text1"/>
              </w:rPr>
              <w:t>.</w:t>
            </w:r>
            <w:r w:rsidR="00A25647">
              <w:t xml:space="preserve"> </w:t>
            </w:r>
            <w:r w:rsidR="00A25647">
              <w:t>As a department or as an individual, what are other ways to define success other than passing grades?</w:t>
            </w:r>
          </w:p>
        </w:tc>
      </w:tr>
      <w:tr w:rsidR="002F5117" w14:paraId="26146CDE" w14:textId="77777777" w:rsidTr="00982047">
        <w:tc>
          <w:tcPr>
            <w:tcW w:w="4585" w:type="dxa"/>
            <w:gridSpan w:val="2"/>
          </w:tcPr>
          <w:p w14:paraId="0748935C" w14:textId="0F906D43" w:rsidR="00A25647" w:rsidRDefault="002F5117" w:rsidP="00A25647">
            <w:pPr>
              <w:jc w:val="both"/>
              <w:rPr>
                <w:b/>
                <w:bCs/>
                <w:color w:val="C00000"/>
              </w:rPr>
            </w:pPr>
            <w:r>
              <w:rPr>
                <w:b/>
                <w:bCs/>
                <w:color w:val="C00000"/>
              </w:rPr>
              <w:t>Reflection:</w:t>
            </w:r>
            <w:r w:rsidR="00A25647">
              <w:rPr>
                <w:b/>
                <w:bCs/>
                <w:color w:val="C00000"/>
              </w:rPr>
              <w:t xml:space="preserve"> </w:t>
            </w:r>
            <w:r w:rsidR="00A25647" w:rsidRPr="002F5117">
              <w:rPr>
                <w:color w:val="000000" w:themeColor="text1"/>
              </w:rPr>
              <w:t>Consider</w:t>
            </w:r>
            <w:r w:rsidR="00A25647">
              <w:rPr>
                <w:color w:val="000000" w:themeColor="text1"/>
              </w:rPr>
              <w:t xml:space="preserve"> ~</w:t>
            </w:r>
          </w:p>
          <w:p w14:paraId="0649E5A0" w14:textId="77777777" w:rsidR="00A25647" w:rsidRDefault="00A25647" w:rsidP="00A25647">
            <w:pPr>
              <w:pStyle w:val="ListParagraph"/>
              <w:numPr>
                <w:ilvl w:val="0"/>
                <w:numId w:val="4"/>
              </w:numPr>
              <w:ind w:left="342" w:hanging="180"/>
              <w:jc w:val="both"/>
            </w:pPr>
            <w:r>
              <w:t>What would be a way to define success other than grades?</w:t>
            </w:r>
          </w:p>
          <w:p w14:paraId="5BFADD40" w14:textId="77777777" w:rsidR="00A25647" w:rsidRDefault="00A25647" w:rsidP="00A25647">
            <w:pPr>
              <w:pStyle w:val="ListParagraph"/>
              <w:numPr>
                <w:ilvl w:val="0"/>
                <w:numId w:val="4"/>
              </w:numPr>
              <w:ind w:left="342" w:hanging="180"/>
              <w:jc w:val="both"/>
            </w:pPr>
            <w:r>
              <w:t>How will you measure those factors?</w:t>
            </w:r>
          </w:p>
          <w:p w14:paraId="4206CDF2" w14:textId="77777777" w:rsidR="00A25647" w:rsidRDefault="00A25647" w:rsidP="00A25647">
            <w:pPr>
              <w:pStyle w:val="ListParagraph"/>
              <w:numPr>
                <w:ilvl w:val="0"/>
                <w:numId w:val="4"/>
              </w:numPr>
              <w:ind w:left="342" w:hanging="180"/>
              <w:jc w:val="both"/>
            </w:pPr>
            <w:r>
              <w:t xml:space="preserve">How can equity gaps be narrowed using this new definition of success? </w:t>
            </w:r>
          </w:p>
          <w:p w14:paraId="13D0B7A2" w14:textId="1A1793C2" w:rsidR="002F5117" w:rsidRDefault="002F5117" w:rsidP="002F5117">
            <w:pPr>
              <w:jc w:val="both"/>
              <w:rPr>
                <w:b/>
                <w:bCs/>
                <w:color w:val="C00000"/>
              </w:rPr>
            </w:pPr>
          </w:p>
        </w:tc>
        <w:tc>
          <w:tcPr>
            <w:tcW w:w="8365" w:type="dxa"/>
          </w:tcPr>
          <w:p w14:paraId="492185BD" w14:textId="0F376269" w:rsidR="002F5117" w:rsidRDefault="002F5117" w:rsidP="002F5117">
            <w:pPr>
              <w:rPr>
                <w:i/>
                <w:iCs/>
              </w:rPr>
            </w:pPr>
            <w:r>
              <w:rPr>
                <w:i/>
                <w:iCs/>
              </w:rPr>
              <w:t>Your department’s/area’s response</w:t>
            </w:r>
            <w:r>
              <w:t xml:space="preserve"> </w:t>
            </w:r>
          </w:p>
        </w:tc>
      </w:tr>
    </w:tbl>
    <w:p w14:paraId="5F121262" w14:textId="3CB376B4" w:rsidR="00705F5C" w:rsidRDefault="00705F5C" w:rsidP="00705F5C"/>
    <w:p w14:paraId="6D42081B" w14:textId="77777777" w:rsidR="00A25647" w:rsidRPr="0014408F" w:rsidRDefault="00A25647" w:rsidP="00A25647">
      <w:pPr>
        <w:jc w:val="both"/>
        <w:rPr>
          <w:b/>
          <w:bCs/>
        </w:rPr>
      </w:pPr>
      <w:r w:rsidRPr="758454DE">
        <w:rPr>
          <w:b/>
          <w:bCs/>
        </w:rPr>
        <w:t xml:space="preserve">Reference documents: </w:t>
      </w:r>
    </w:p>
    <w:p w14:paraId="193DF583" w14:textId="77777777" w:rsidR="00A25647" w:rsidRPr="0014408F" w:rsidRDefault="00A25647" w:rsidP="00A25647">
      <w:pPr>
        <w:jc w:val="both"/>
      </w:pPr>
      <w:hyperlink r:id="rId11">
        <w:r w:rsidRPr="758454DE">
          <w:rPr>
            <w:rStyle w:val="Hyperlink"/>
          </w:rPr>
          <w:t>Vision, Mission and Values (deanza.edu)</w:t>
        </w:r>
      </w:hyperlink>
    </w:p>
    <w:p w14:paraId="7900663F" w14:textId="77777777" w:rsidR="00A25647" w:rsidRPr="0014408F" w:rsidRDefault="00A25647" w:rsidP="00A25647">
      <w:pPr>
        <w:jc w:val="both"/>
      </w:pPr>
      <w:hyperlink r:id="rId12">
        <w:r w:rsidRPr="758454DE">
          <w:rPr>
            <w:rStyle w:val="Hyperlink"/>
          </w:rPr>
          <w:t>Educational Master Plan, 2015-2020 (deanza.edu)</w:t>
        </w:r>
      </w:hyperlink>
      <w:r>
        <w:t xml:space="preserve"> </w:t>
      </w:r>
    </w:p>
    <w:p w14:paraId="1F5F7FEA" w14:textId="77777777" w:rsidR="00A25647" w:rsidRDefault="00A25647" w:rsidP="00A25647">
      <w:pPr>
        <w:jc w:val="both"/>
        <w:rPr>
          <w:rStyle w:val="Hyperlink"/>
        </w:rPr>
      </w:pPr>
      <w:hyperlink r:id="rId13">
        <w:r w:rsidRPr="758454DE">
          <w:rPr>
            <w:rStyle w:val="Hyperlink"/>
          </w:rPr>
          <w:t>Educational Master Plan Update, 2018-2019 (deanza.edu)</w:t>
        </w:r>
      </w:hyperlink>
    </w:p>
    <w:p w14:paraId="2DBB05C2" w14:textId="77777777" w:rsidR="00A25647" w:rsidRDefault="00A25647" w:rsidP="00A25647">
      <w:pPr>
        <w:jc w:val="both"/>
        <w:rPr>
          <w:rStyle w:val="Hyperlink"/>
        </w:rPr>
      </w:pPr>
      <w:hyperlink r:id="rId14" w:history="1">
        <w:r w:rsidRPr="00000680">
          <w:rPr>
            <w:rStyle w:val="Hyperlink"/>
          </w:rPr>
          <w:t>2019-2022 Equity Plan</w:t>
        </w:r>
      </w:hyperlink>
    </w:p>
    <w:p w14:paraId="7AD89D78" w14:textId="77777777" w:rsidR="00A25647" w:rsidRPr="0014408F" w:rsidRDefault="00A25647" w:rsidP="00A25647">
      <w:pPr>
        <w:jc w:val="both"/>
      </w:pPr>
      <w:hyperlink r:id="rId15" w:tgtFrame="_blank" w:history="1">
        <w:r>
          <w:rPr>
            <w:rStyle w:val="normaltextrun"/>
            <w:rFonts w:ascii="Calibri" w:hAnsi="Calibri" w:cs="Calibri"/>
            <w:color w:val="0000FF"/>
            <w:u w:val="single"/>
            <w:shd w:val="clear" w:color="auto" w:fill="FFFFFF"/>
          </w:rPr>
          <w:t>CCCCO Diversity, Equity, and Inclusion Glossary of Terms</w:t>
        </w:r>
      </w:hyperlink>
      <w:r>
        <w:rPr>
          <w:rStyle w:val="eop"/>
          <w:rFonts w:ascii="Calibri" w:hAnsi="Calibri" w:cs="Calibri"/>
          <w:color w:val="000000"/>
          <w:shd w:val="clear" w:color="auto" w:fill="FFFFFF"/>
        </w:rPr>
        <w:t> </w:t>
      </w:r>
    </w:p>
    <w:p w14:paraId="631DF50F" w14:textId="77777777" w:rsidR="00A25647" w:rsidRDefault="00A25647" w:rsidP="00A25647">
      <w:pPr>
        <w:jc w:val="both"/>
      </w:pPr>
    </w:p>
    <w:p w14:paraId="4BDD9DAC" w14:textId="5038FE38" w:rsidR="00A25647" w:rsidRDefault="00A25647" w:rsidP="00727CCB">
      <w:pPr>
        <w:jc w:val="both"/>
      </w:pPr>
      <w:r>
        <w:t>*</w:t>
      </w:r>
      <w:r w:rsidRPr="0054603B">
        <w:t xml:space="preserve"> Outside stressors Maslow's hierarchy of needs comprises of a five-tier model of human needs, often depicted as hierarchical levels within a pyramid. From the bottom of the hierarchy upwards, the needs are: physiological (food and clothing), safety (job security), love and belonging </w:t>
      </w:r>
      <w:r w:rsidRPr="0054603B">
        <w:lastRenderedPageBreak/>
        <w:t>needs (friendship), esteem, and self-actualization. During this pandemic, we need to add technological resources (reliable computer and camera, stable internet, safe space to study).</w:t>
      </w:r>
    </w:p>
    <w:sectPr w:rsidR="00A25647" w:rsidSect="00705F5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E3DBD"/>
    <w:multiLevelType w:val="hybridMultilevel"/>
    <w:tmpl w:val="1E4EF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7308B"/>
    <w:multiLevelType w:val="hybridMultilevel"/>
    <w:tmpl w:val="D6B0A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02A14"/>
    <w:multiLevelType w:val="hybridMultilevel"/>
    <w:tmpl w:val="E6166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17DC1"/>
    <w:multiLevelType w:val="hybridMultilevel"/>
    <w:tmpl w:val="32A077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314D01"/>
    <w:multiLevelType w:val="hybridMultilevel"/>
    <w:tmpl w:val="C0A8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5C"/>
    <w:rsid w:val="00151922"/>
    <w:rsid w:val="002F5117"/>
    <w:rsid w:val="003355BE"/>
    <w:rsid w:val="00635238"/>
    <w:rsid w:val="00664CEE"/>
    <w:rsid w:val="00705F5C"/>
    <w:rsid w:val="00727CCB"/>
    <w:rsid w:val="00982047"/>
    <w:rsid w:val="00A25647"/>
    <w:rsid w:val="00F9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991B"/>
  <w15:chartTrackingRefBased/>
  <w15:docId w15:val="{3DC0F189-8389-4EAD-B579-0A35DEB8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F5C"/>
    <w:pPr>
      <w:ind w:left="720"/>
      <w:contextualSpacing/>
    </w:pPr>
  </w:style>
  <w:style w:type="character" w:styleId="Hyperlink">
    <w:name w:val="Hyperlink"/>
    <w:basedOn w:val="DefaultParagraphFont"/>
    <w:uiPriority w:val="99"/>
    <w:unhideWhenUsed/>
    <w:rsid w:val="00705F5C"/>
    <w:rPr>
      <w:color w:val="0000FF"/>
      <w:u w:val="single"/>
    </w:rPr>
  </w:style>
  <w:style w:type="character" w:customStyle="1" w:styleId="normaltextrun">
    <w:name w:val="normaltextrun"/>
    <w:basedOn w:val="DefaultParagraphFont"/>
    <w:rsid w:val="00705F5C"/>
  </w:style>
  <w:style w:type="character" w:customStyle="1" w:styleId="eop">
    <w:name w:val="eop"/>
    <w:basedOn w:val="DefaultParagraphFont"/>
    <w:rsid w:val="00705F5C"/>
  </w:style>
  <w:style w:type="paragraph" w:styleId="Title">
    <w:name w:val="Title"/>
    <w:basedOn w:val="Normal"/>
    <w:next w:val="Normal"/>
    <w:link w:val="TitleChar"/>
    <w:uiPriority w:val="10"/>
    <w:qFormat/>
    <w:rsid w:val="00A256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647"/>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91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co.edu/-/media/CCCCO-Website/Files/Communications/vision-for-success/8-dei-glossary-of-terms.pdf?la=en&amp;hash=21FCA99EAE353E6F481025115DC98272EAA36BA9" TargetMode="External"/><Relationship Id="rId13" Type="http://schemas.openxmlformats.org/officeDocument/2006/relationships/hyperlink" Target="http://deanza.edu/ir/state-of-the-college-related-information/EMP_2015-2020_Update_2019.pdf" TargetMode="External"/><Relationship Id="rId3" Type="http://schemas.openxmlformats.org/officeDocument/2006/relationships/settings" Target="settings.xml"/><Relationship Id="rId7" Type="http://schemas.openxmlformats.org/officeDocument/2006/relationships/hyperlink" Target="https://www.cccco.edu/-/media/CCCCO-Website/Files/Communications/vision-for-success/8-dei-glossary-of-terms.pdf?la=en&amp;hash=21FCA99EAE353E6F481025115DC98272EAA36BA9" TargetMode="External"/><Relationship Id="rId12" Type="http://schemas.openxmlformats.org/officeDocument/2006/relationships/hyperlink" Target="http://deanza.edu/ir/state-of-the-college-related-information/documents/EMP2015-2020_3-11-16.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eanza.edu/about-us/mission-and-values.html" TargetMode="External"/><Relationship Id="rId11" Type="http://schemas.openxmlformats.org/officeDocument/2006/relationships/hyperlink" Target="https://www.deanza.edu/about-us/mission-and-values.html" TargetMode="External"/><Relationship Id="rId5" Type="http://schemas.openxmlformats.org/officeDocument/2006/relationships/hyperlink" Target="https://foothilldeanza-my.sharepoint.com/:f:/g/personal/11248921_fhda_edu/EikvJdoEnEFGjUJoa3nWn_ABbmps9uH4nqgMEHOuhCREiQ?e=Ct4EaB" TargetMode="External"/><Relationship Id="rId15" Type="http://schemas.openxmlformats.org/officeDocument/2006/relationships/hyperlink" Target="https://www.cccco.edu/-/media/CCCCO-Website/Files/Communications/vision-for-success/8-dei-glossary-of-terms.pdf?la=en&amp;hash=21FCA99EAE353E6F481025115DC98272EAA36BA9" TargetMode="External"/><Relationship Id="rId10" Type="http://schemas.openxmlformats.org/officeDocument/2006/relationships/hyperlink" Target="http://deanza.edu/ir/program-review.18-19/documents/HowtoUsetheInquiryTool.pdf" TargetMode="External"/><Relationship Id="rId4" Type="http://schemas.openxmlformats.org/officeDocument/2006/relationships/webSettings" Target="webSettings.xml"/><Relationship Id="rId9" Type="http://schemas.openxmlformats.org/officeDocument/2006/relationships/hyperlink" Target="http://deanza.edu/ir/Dashboards.html" TargetMode="External"/><Relationship Id="rId14" Type="http://schemas.openxmlformats.org/officeDocument/2006/relationships/hyperlink" Target="https://www.deanza.edu/ir/planning/DAC_Student_Equity_Plan_2019-2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Mary Pape</cp:lastModifiedBy>
  <cp:revision>8</cp:revision>
  <dcterms:created xsi:type="dcterms:W3CDTF">2021-03-12T14:46:00Z</dcterms:created>
  <dcterms:modified xsi:type="dcterms:W3CDTF">2021-03-12T20:24:00Z</dcterms:modified>
</cp:coreProperties>
</file>